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475"/>
      <w:bookmarkStart w:id="1" w:name="_Toc15306267"/>
      <w:bookmarkStart w:id="2" w:name="_Toc15377193"/>
      <w:bookmarkStart w:id="3" w:name="_Toc15396597"/>
      <w:bookmarkStart w:id="4" w:name="_Toc15377425"/>
      <w:bookmarkStart w:id="5" w:name="_Toc15378441"/>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keepNext w:val="0"/>
        <w:keepLines w:val="0"/>
        <w:pageBreakBefore w:val="0"/>
        <w:widowControl w:val="0"/>
        <w:suppressAutoHyphens/>
        <w:kinsoku/>
        <w:wordWrap/>
        <w:overflowPunct/>
        <w:topLinePunct w:val="0"/>
        <w:autoSpaceDE/>
        <w:autoSpaceDN/>
        <w:bidi w:val="0"/>
        <w:adjustRightInd w:val="0"/>
        <w:snapToGrid w:val="0"/>
        <w:spacing w:line="1200" w:lineRule="exact"/>
        <w:jc w:val="center"/>
        <w:textAlignment w:val="auto"/>
        <w:outlineLvl w:val="0"/>
        <w:rPr>
          <w:rFonts w:hint="eastAsia" w:ascii="方正小标宋简体" w:hAnsi="宋体"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keepNext w:val="0"/>
        <w:keepLines w:val="0"/>
        <w:pageBreakBefore w:val="0"/>
        <w:widowControl w:val="0"/>
        <w:suppressAutoHyphens/>
        <w:kinsoku/>
        <w:wordWrap/>
        <w:overflowPunct/>
        <w:topLinePunct w:val="0"/>
        <w:autoSpaceDE/>
        <w:autoSpaceDN/>
        <w:bidi w:val="0"/>
        <w:adjustRightInd w:val="0"/>
        <w:snapToGrid w:val="0"/>
        <w:spacing w:line="1200" w:lineRule="exact"/>
        <w:jc w:val="center"/>
        <w:textAlignment w:val="auto"/>
        <w:outlineLvl w:val="0"/>
        <w:rPr>
          <w:rFonts w:hint="eastAsia" w:ascii="方正小标宋简体" w:hAnsi="宋体" w:eastAsia="方正小标宋简体" w:cs="Times New Roman"/>
          <w:color w:val="auto"/>
          <w:kern w:val="2"/>
          <w:sz w:val="52"/>
          <w:szCs w:val="52"/>
          <w:highlight w:val="none"/>
          <w:lang w:val="en-US" w:eastAsia="zh-CN" w:bidi="ar-SA"/>
        </w:rPr>
      </w:pPr>
      <w:bookmarkStart w:id="6" w:name="_Toc15378442"/>
      <w:bookmarkStart w:id="7" w:name="_Toc15306268"/>
      <w:bookmarkStart w:id="8" w:name="_Toc15396476"/>
      <w:bookmarkStart w:id="9" w:name="_Toc15377194"/>
      <w:bookmarkStart w:id="10" w:name="_Toc15377426"/>
      <w:bookmarkStart w:id="11" w:name="_Toc15396598"/>
      <w:r>
        <w:rPr>
          <w:rFonts w:hint="eastAsia" w:ascii="方正小标宋简体" w:hAnsi="宋体" w:eastAsia="方正小标宋简体" w:cs="Times New Roman"/>
          <w:color w:val="auto"/>
          <w:kern w:val="2"/>
          <w:sz w:val="52"/>
          <w:szCs w:val="52"/>
          <w:highlight w:val="none"/>
          <w:lang w:val="en-US" w:eastAsia="zh-CN" w:bidi="ar-SA"/>
        </w:rPr>
        <w:t>中共遂宁市委党校（遂宁行政学院）</w:t>
      </w:r>
    </w:p>
    <w:p>
      <w:pPr>
        <w:keepNext w:val="0"/>
        <w:keepLines w:val="0"/>
        <w:pageBreakBefore w:val="0"/>
        <w:widowControl w:val="0"/>
        <w:suppressAutoHyphens/>
        <w:kinsoku/>
        <w:wordWrap/>
        <w:overflowPunct/>
        <w:topLinePunct w:val="0"/>
        <w:autoSpaceDE/>
        <w:autoSpaceDN/>
        <w:bidi w:val="0"/>
        <w:adjustRightInd w:val="0"/>
        <w:snapToGrid w:val="0"/>
        <w:spacing w:line="1200" w:lineRule="exact"/>
        <w:jc w:val="center"/>
        <w:textAlignment w:val="auto"/>
        <w:outlineLvl w:val="0"/>
        <w:rPr>
          <w:rFonts w:hint="eastAsia" w:ascii="方正小标宋简体" w:hAnsi="宋体" w:eastAsia="方正小标宋简体" w:cs="Times New Roman"/>
          <w:color w:val="auto"/>
          <w:kern w:val="2"/>
          <w:sz w:val="52"/>
          <w:szCs w:val="52"/>
          <w:highlight w:val="none"/>
          <w:lang w:val="en-US" w:eastAsia="zh-CN" w:bidi="ar-SA"/>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简体" w:hAnsi="宋体" w:eastAsia="方正小标宋简体" w:cs="Times New Roman"/>
          <w:color w:val="auto"/>
          <w:kern w:val="2"/>
          <w:sz w:val="52"/>
          <w:szCs w:val="52"/>
          <w:highlight w:val="none"/>
          <w:lang w:val="en-US" w:eastAsia="zh-CN" w:bidi="ar-SA"/>
        </w:rPr>
        <w:t>2023年度部门决算</w:t>
      </w:r>
      <w:bookmarkEnd w:id="6"/>
      <w:bookmarkEnd w:id="7"/>
      <w:bookmarkEnd w:id="8"/>
      <w:bookmarkEnd w:id="9"/>
      <w:bookmarkEnd w:id="10"/>
      <w:bookmarkEnd w:id="11"/>
      <w:r>
        <w:rPr>
          <w:rFonts w:hint="eastAsia" w:ascii="方正小标宋简体" w:hAnsi="宋体" w:eastAsia="方正小标宋简体" w:cs="Times New Roman"/>
          <w:color w:val="auto"/>
          <w:kern w:val="2"/>
          <w:sz w:val="52"/>
          <w:szCs w:val="52"/>
          <w:highlight w:val="none"/>
          <w:lang w:val="en-US" w:eastAsia="zh-CN" w:bidi="ar-SA"/>
        </w:rPr>
        <w:t>公开</w:t>
      </w:r>
    </w:p>
    <w:p>
      <w:pPr>
        <w:widowControl/>
        <w:jc w:val="both"/>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pStyle w:val="13"/>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公开时间：20</w:t>
      </w:r>
      <w:r>
        <w:rPr>
          <w:rFonts w:hint="eastAsia" w:ascii="方正楷体_GBK" w:hAnsi="方正楷体_GBK" w:eastAsia="方正楷体_GBK" w:cs="方正楷体_GBK"/>
          <w:color w:val="auto"/>
          <w:sz w:val="32"/>
          <w:szCs w:val="32"/>
          <w:highlight w:val="none"/>
          <w:lang w:val="en-US" w:eastAsia="zh-CN"/>
        </w:rPr>
        <w:t>24</w:t>
      </w:r>
      <w:r>
        <w:rPr>
          <w:rFonts w:hint="eastAsia" w:ascii="方正楷体_GBK" w:hAnsi="方正楷体_GBK" w:eastAsia="方正楷体_GBK" w:cs="方正楷体_GBK"/>
          <w:color w:val="auto"/>
          <w:sz w:val="32"/>
          <w:szCs w:val="32"/>
          <w:highlight w:val="none"/>
        </w:rPr>
        <w:t>年</w:t>
      </w:r>
      <w:r>
        <w:rPr>
          <w:rFonts w:hint="eastAsia" w:ascii="方正楷体_GBK" w:hAnsi="方正楷体_GBK" w:eastAsia="方正楷体_GBK" w:cs="方正楷体_GBK"/>
          <w:color w:val="auto"/>
          <w:sz w:val="32"/>
          <w:szCs w:val="32"/>
          <w:highlight w:val="none"/>
          <w:lang w:val="en-US" w:eastAsia="zh-CN"/>
        </w:rPr>
        <w:t>8</w:t>
      </w:r>
      <w:r>
        <w:rPr>
          <w:rFonts w:hint="eastAsia" w:ascii="方正楷体_GBK" w:hAnsi="方正楷体_GBK" w:eastAsia="方正楷体_GBK" w:cs="方正楷体_GBK"/>
          <w:color w:val="auto"/>
          <w:sz w:val="32"/>
          <w:szCs w:val="32"/>
          <w:highlight w:val="none"/>
        </w:rPr>
        <w:t>月</w:t>
      </w:r>
      <w:r>
        <w:rPr>
          <w:rFonts w:hint="eastAsia" w:ascii="方正楷体_GBK" w:hAnsi="方正楷体_GBK" w:eastAsia="方正楷体_GBK" w:cs="方正楷体_GBK"/>
          <w:color w:val="auto"/>
          <w:sz w:val="32"/>
          <w:szCs w:val="32"/>
          <w:highlight w:val="none"/>
          <w:lang w:val="en-US" w:eastAsia="zh-CN"/>
        </w:rPr>
        <w:t>22</w:t>
      </w:r>
      <w:r>
        <w:rPr>
          <w:rFonts w:hint="eastAsia" w:ascii="方正楷体_GBK" w:hAnsi="方正楷体_GBK" w:eastAsia="方正楷体_GBK" w:cs="方正楷体_GBK"/>
          <w:color w:val="auto"/>
          <w:sz w:val="32"/>
          <w:szCs w:val="32"/>
          <w:highlight w:val="none"/>
        </w:rPr>
        <w:t>日</w:t>
      </w:r>
    </w:p>
    <w:p>
      <w:pPr>
        <w:rPr>
          <w:color w:val="auto"/>
          <w:highlight w:val="none"/>
        </w:rPr>
      </w:pPr>
    </w:p>
    <w:p>
      <w:pPr>
        <w:keepNext w:val="0"/>
        <w:keepLines w:val="0"/>
        <w:pageBreakBefore w:val="0"/>
        <w:widowControl/>
        <w:suppressLineNumbers w:val="0"/>
        <w:tabs>
          <w:tab w:val="right" w:leader="dot" w:pos="7980"/>
        </w:tabs>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部门概况</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w:t>
      </w:r>
    </w:p>
    <w:p>
      <w:pPr>
        <w:keepNext w:val="0"/>
        <w:keepLines w:val="0"/>
        <w:pageBreakBefore w:val="0"/>
        <w:widowControl/>
        <w:suppressLineNumbers w:val="0"/>
        <w:tabs>
          <w:tab w:val="right" w:leader="dot" w:pos="7980"/>
        </w:tabs>
        <w:kinsoku/>
        <w:wordWrap/>
        <w:overflowPunct/>
        <w:topLinePunct w:val="0"/>
        <w:autoSpaceDE/>
        <w:autoSpaceDN/>
        <w:bidi w:val="0"/>
        <w:spacing w:line="576" w:lineRule="exact"/>
        <w:ind w:left="638" w:leftChars="304" w:firstLine="0" w:firstLineChars="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部门职责</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w:t>
      </w:r>
    </w:p>
    <w:p>
      <w:pPr>
        <w:keepNext w:val="0"/>
        <w:keepLines w:val="0"/>
        <w:pageBreakBefore w:val="0"/>
        <w:widowControl/>
        <w:suppressLineNumbers w:val="0"/>
        <w:tabs>
          <w:tab w:val="right" w:leader="dot" w:pos="7980"/>
        </w:tabs>
        <w:kinsoku/>
        <w:wordWrap/>
        <w:overflowPunct/>
        <w:topLinePunct w:val="0"/>
        <w:autoSpaceDE/>
        <w:autoSpaceDN/>
        <w:bidi w:val="0"/>
        <w:spacing w:line="576" w:lineRule="exact"/>
        <w:ind w:left="638" w:leftChars="304" w:firstLine="0" w:firstLineChars="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二、机构设置</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9</w:t>
      </w:r>
    </w:p>
    <w:p>
      <w:pPr>
        <w:keepNext w:val="0"/>
        <w:keepLines w:val="0"/>
        <w:pageBreakBefore w:val="0"/>
        <w:widowControl/>
        <w:suppressLineNumbers w:val="0"/>
        <w:tabs>
          <w:tab w:val="right" w:leader="dot" w:pos="7980"/>
        </w:tabs>
        <w:kinsoku/>
        <w:wordWrap/>
        <w:overflowPunct/>
        <w:topLinePunct w:val="0"/>
        <w:autoSpaceDE/>
        <w:autoSpaceDN/>
        <w:bidi w:val="0"/>
        <w:spacing w:line="576" w:lineRule="exact"/>
        <w:ind w:left="638" w:leftChars="304"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黑体" w:hAnsi="黑体" w:eastAsia="黑体" w:cs="黑体"/>
          <w:color w:val="auto"/>
          <w:sz w:val="32"/>
          <w:szCs w:val="32"/>
          <w:highlight w:val="none"/>
          <w:lang w:val="en-US" w:eastAsia="zh-CN"/>
        </w:rPr>
        <w:t>第二部分  2023年度部门决算情况说明</w:t>
      </w:r>
      <w:r>
        <w:rPr>
          <w:rFonts w:hint="eastAsia" w:ascii="黑体" w:hAnsi="黑体" w:eastAsia="黑体" w:cs="黑体"/>
          <w:color w:val="auto"/>
          <w:sz w:val="32"/>
          <w:szCs w:val="32"/>
          <w:highlight w:val="none"/>
          <w:lang w:val="en-US" w:eastAsia="zh-CN"/>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10</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一、收入支出决算总体情况说明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10</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二、收入决算情况说明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10</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三、支出决算情况说明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11</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12</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13</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638" w:leftChars="304"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16</w:t>
      </w: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三公”经费财政拨款支出决算情况说明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17</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19</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eastAsia="zh-CN"/>
        </w:rPr>
        <w:t>国</w:t>
      </w:r>
      <w:r>
        <w:rPr>
          <w:rFonts w:hint="eastAsia" w:ascii="仿宋_GB2312" w:hAnsi="仿宋_GB2312" w:eastAsia="仿宋_GB2312" w:cs="仿宋_GB2312"/>
          <w:color w:val="auto"/>
          <w:sz w:val="32"/>
          <w:szCs w:val="32"/>
          <w:highlight w:val="none"/>
        </w:rPr>
        <w:t>有资本经营预算支出决算情况说明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19</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Style w:val="20"/>
          <w:rFonts w:hint="eastAsia" w:ascii="仿宋_GB2312" w:hAnsi="仿宋_GB2312" w:eastAsia="仿宋_GB2312" w:cs="仿宋_GB2312"/>
          <w:color w:val="auto"/>
          <w:sz w:val="32"/>
          <w:szCs w:val="32"/>
          <w:highlight w:val="none"/>
          <w:u w:val="none"/>
          <w:lang w:eastAsia="zh-CN"/>
        </w:rPr>
        <w:t>十</w:t>
      </w:r>
      <w:r>
        <w:rPr>
          <w:rStyle w:val="20"/>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其他重要事项的情况说明</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19</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黑体" w:hAnsi="黑体" w:eastAsia="黑体" w:cs="黑体"/>
          <w:color w:val="auto"/>
          <w:kern w:val="2"/>
          <w:sz w:val="32"/>
          <w:szCs w:val="32"/>
          <w:highlight w:val="none"/>
          <w:lang w:val="en-US" w:eastAsia="zh-CN" w:bidi="ar-SA"/>
        </w:rPr>
        <w:t>第三部分  名词解释</w:t>
      </w:r>
      <w:r>
        <w:rPr>
          <w:rFonts w:hint="eastAsia" w:ascii="黑体" w:hAnsi="黑体" w:eastAsia="黑体" w:cs="黑体"/>
          <w:color w:val="auto"/>
          <w:kern w:val="2"/>
          <w:sz w:val="32"/>
          <w:szCs w:val="32"/>
          <w:highlight w:val="none"/>
          <w:lang w:val="en-US" w:eastAsia="zh-CN" w:bidi="ar-SA"/>
        </w:rPr>
        <w:tab/>
      </w:r>
      <w:r>
        <w:rPr>
          <w:rFonts w:hint="eastAsia" w:ascii="黑体" w:hAnsi="黑体" w:eastAsia="黑体" w:cs="黑体"/>
          <w:color w:val="auto"/>
          <w:kern w:val="2"/>
          <w:sz w:val="32"/>
          <w:szCs w:val="32"/>
          <w:highlight w:val="none"/>
          <w:lang w:val="en-US" w:eastAsia="zh-CN" w:bidi="ar-SA"/>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21</w:t>
      </w:r>
    </w:p>
    <w:p>
      <w:pPr>
        <w:pStyle w:val="13"/>
        <w:keepNext w:val="0"/>
        <w:keepLines w:val="0"/>
        <w:pageBreakBefore w:val="0"/>
        <w:tabs>
          <w:tab w:val="right" w:leader="dot" w:pos="7980"/>
        </w:tabs>
        <w:kinsoku/>
        <w:wordWrap/>
        <w:overflowPunct/>
        <w:topLinePunct w:val="0"/>
        <w:autoSpaceDE/>
        <w:autoSpaceDN/>
        <w:bidi w:val="0"/>
        <w:adjustRightInd w:val="0"/>
        <w:snapToGrid w:val="0"/>
        <w:spacing w:before="0" w:line="576" w:lineRule="exact"/>
        <w:ind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黑体" w:hAnsi="黑体" w:eastAsia="黑体" w:cs="黑体"/>
          <w:color w:val="auto"/>
          <w:kern w:val="2"/>
          <w:sz w:val="32"/>
          <w:szCs w:val="32"/>
          <w:highlight w:val="none"/>
          <w:lang w:val="en-US" w:eastAsia="zh-CN" w:bidi="ar-SA"/>
        </w:rPr>
        <w:t>第四部分  附件</w:t>
      </w:r>
      <w:r>
        <w:rPr>
          <w:rFonts w:hint="eastAsia" w:ascii="黑体" w:hAnsi="黑体" w:eastAsia="黑体" w:cs="黑体"/>
          <w:color w:val="auto"/>
          <w:kern w:val="2"/>
          <w:sz w:val="32"/>
          <w:szCs w:val="32"/>
          <w:highlight w:val="none"/>
          <w:lang w:val="en-US" w:eastAsia="zh-CN" w:bidi="ar-SA"/>
        </w:rPr>
        <w:tab/>
      </w:r>
      <w:r>
        <w:rPr>
          <w:rFonts w:hint="eastAsia" w:ascii="黑体" w:hAnsi="黑体" w:eastAsia="黑体" w:cs="黑体"/>
          <w:color w:val="auto"/>
          <w:kern w:val="2"/>
          <w:sz w:val="32"/>
          <w:szCs w:val="32"/>
          <w:highlight w:val="none"/>
          <w:lang w:val="en-US" w:eastAsia="zh-CN" w:bidi="ar-SA"/>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24</w:t>
      </w:r>
    </w:p>
    <w:p>
      <w:pPr>
        <w:pStyle w:val="13"/>
        <w:keepNext w:val="0"/>
        <w:keepLines w:val="0"/>
        <w:pageBreakBefore w:val="0"/>
        <w:tabs>
          <w:tab w:val="right" w:leader="dot" w:pos="7980"/>
        </w:tabs>
        <w:kinsoku/>
        <w:wordWrap/>
        <w:overflowPunct/>
        <w:topLinePunct w:val="0"/>
        <w:autoSpaceDE/>
        <w:autoSpaceDN/>
        <w:bidi w:val="0"/>
        <w:adjustRightInd w:val="0"/>
        <w:snapToGrid w:val="0"/>
        <w:spacing w:before="0" w:line="576" w:lineRule="exact"/>
        <w:ind w:left="638" w:leftChars="304" w:firstLine="0" w:firstLineChars="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第五部分  附表</w:t>
      </w:r>
    </w:p>
    <w:p>
      <w:pPr>
        <w:pStyle w:val="13"/>
        <w:keepNext w:val="0"/>
        <w:keepLines w:val="0"/>
        <w:pageBreakBefore w:val="0"/>
        <w:tabs>
          <w:tab w:val="right" w:leader="dot" w:pos="7980"/>
        </w:tabs>
        <w:kinsoku/>
        <w:wordWrap/>
        <w:overflowPunct/>
        <w:topLinePunct w:val="0"/>
        <w:autoSpaceDE/>
        <w:autoSpaceDN/>
        <w:bidi w:val="0"/>
        <w:adjustRightInd w:val="0"/>
        <w:snapToGrid w:val="0"/>
        <w:spacing w:before="0" w:line="576" w:lineRule="exact"/>
        <w:ind w:left="638" w:leftChars="304"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3"/>
        <w:keepNext w:val="0"/>
        <w:keepLines w:val="0"/>
        <w:pageBreakBefore w:val="0"/>
        <w:tabs>
          <w:tab w:val="right" w:leader="dot" w:pos="7980"/>
        </w:tabs>
        <w:kinsoku/>
        <w:wordWrap/>
        <w:overflowPunct/>
        <w:topLinePunct w:val="0"/>
        <w:autoSpaceDE/>
        <w:autoSpaceDN/>
        <w:bidi w:val="0"/>
        <w:adjustRightInd w:val="0"/>
        <w:snapToGrid w:val="0"/>
        <w:spacing w:before="0" w:line="576"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二、收入决算表</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51</w:t>
      </w:r>
    </w:p>
    <w:p>
      <w:pPr>
        <w:pStyle w:val="14"/>
        <w:keepNext w:val="0"/>
        <w:keepLines w:val="0"/>
        <w:pageBreakBefore w:val="0"/>
        <w:tabs>
          <w:tab w:val="right" w:leader="dot" w:pos="7980"/>
        </w:tabs>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四、财政拨款收入支出决算总表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五、财政拨款支出决算明细表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六、一般公共预算财政拨款支出决算表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lang w:val="en-US"/>
        </w:rPr>
      </w:pPr>
      <w:r>
        <w:rPr>
          <w:rFonts w:hint="eastAsia" w:ascii="仿宋_GB2312" w:hAnsi="仿宋_GB2312" w:eastAsia="仿宋_GB2312" w:cs="仿宋_GB2312"/>
          <w:color w:val="auto"/>
          <w:sz w:val="32"/>
          <w:szCs w:val="32"/>
          <w:highlight w:val="none"/>
        </w:rPr>
        <w:t>七、一般公共预算财政拨款支出决算明细表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八、一般公共预算财政拨款基本支出决算</w:t>
      </w:r>
      <w:r>
        <w:rPr>
          <w:rFonts w:hint="eastAsia" w:ascii="仿宋_GB2312" w:hAnsi="仿宋_GB2312" w:eastAsia="仿宋_GB2312" w:cs="仿宋_GB2312"/>
          <w:color w:val="auto"/>
          <w:sz w:val="32"/>
          <w:szCs w:val="32"/>
          <w:highlight w:val="none"/>
          <w:lang w:eastAsia="zh-CN"/>
        </w:rPr>
        <w:t>明细</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九、一般公共预算财政拨款项目支出决算表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638" w:leftChars="304"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政府性基金预算财政拨款收入支出决算表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638" w:leftChars="304" w:firstLine="0" w:firstLineChars="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财政拨款收入</w:t>
      </w:r>
      <w:r>
        <w:rPr>
          <w:rFonts w:hint="eastAsia" w:ascii="仿宋_GB2312" w:hAnsi="仿宋_GB2312" w:eastAsia="仿宋_GB2312" w:cs="仿宋_GB2312"/>
          <w:color w:val="auto"/>
          <w:sz w:val="32"/>
          <w:szCs w:val="32"/>
          <w:highlight w:val="none"/>
        </w:rPr>
        <w:t>支出决算表</w:t>
      </w:r>
      <w:r>
        <w:rPr>
          <w:rFonts w:hint="eastAsia" w:ascii="仿宋_GB2312" w:hAnsi="仿宋_GB2312" w:eastAsia="仿宋_GB2312" w:cs="仿宋_GB2312"/>
          <w:i w:val="0"/>
          <w:caps w:val="0"/>
          <w:color w:val="333333"/>
          <w:spacing w:val="0"/>
          <w:kern w:val="0"/>
          <w:sz w:val="32"/>
          <w:szCs w:val="32"/>
          <w:shd w:val="clear" w:fill="FFFFFF"/>
          <w:lang w:val="en-US" w:eastAsia="zh-CN" w:bidi="ar"/>
        </w:rPr>
        <w:tab/>
      </w:r>
      <w:r>
        <w:rPr>
          <w:rFonts w:hint="eastAsia" w:ascii="仿宋_GB2312" w:hAnsi="仿宋_GB2312" w:eastAsia="仿宋_GB2312" w:cs="仿宋_GB2312"/>
          <w:i w:val="0"/>
          <w:caps w:val="0"/>
          <w:color w:val="333333"/>
          <w:spacing w:val="0"/>
          <w:kern w:val="0"/>
          <w:sz w:val="32"/>
          <w:szCs w:val="32"/>
          <w:shd w:val="clear" w:fill="FFFFFF"/>
          <w:lang w:val="en-US" w:eastAsia="zh-CN" w:bidi="ar"/>
        </w:rPr>
        <w:t>.51</w:t>
      </w:r>
      <w:r>
        <w:rPr>
          <w:rFonts w:hint="eastAsia" w:ascii="仿宋_GB2312" w:hAnsi="仿宋_GB2312" w:eastAsia="仿宋_GB2312" w:cs="仿宋_GB2312"/>
          <w:color w:val="auto"/>
          <w:sz w:val="32"/>
          <w:szCs w:val="32"/>
          <w:highlight w:val="none"/>
          <w:lang w:val="en-US" w:eastAsia="zh-CN"/>
        </w:rPr>
        <w:t>十二、国有资本经营预算财政拨款支出</w:t>
      </w:r>
      <w:r>
        <w:rPr>
          <w:rFonts w:hint="eastAsia" w:ascii="仿宋_GB2312" w:hAnsi="仿宋_GB2312" w:eastAsia="仿宋_GB2312" w:cs="仿宋_GB2312"/>
          <w:color w:val="auto"/>
          <w:sz w:val="32"/>
          <w:szCs w:val="32"/>
          <w:highlight w:val="none"/>
        </w:rPr>
        <w:t>决算</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51</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638" w:leftChars="304" w:firstLine="0" w:firstLineChars="0"/>
        <w:jc w:val="left"/>
        <w:textAlignment w:val="auto"/>
        <w:rPr>
          <w:rFonts w:hint="default" w:ascii="仿宋_GB2312" w:hAnsi="仿宋_GB2312" w:eastAsia="仿宋_GB2312" w:cs="仿宋_GB2312"/>
          <w:color w:val="auto"/>
          <w:sz w:val="32"/>
          <w:szCs w:val="32"/>
          <w:highlight w:val="none"/>
          <w:lang w:val="en-US"/>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十三、财政拨款“三公”经费支出决算表</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51</w:t>
      </w:r>
    </w:p>
    <w:p>
      <w:pPr>
        <w:pStyle w:val="5"/>
        <w:ind w:firstLine="2616" w:firstLineChars="600"/>
        <w:jc w:val="both"/>
        <w:rPr>
          <w:rFonts w:ascii="黑体" w:eastAsia="黑体"/>
          <w:color w:val="auto"/>
          <w:sz w:val="32"/>
          <w:szCs w:val="32"/>
          <w:highlight w:val="none"/>
        </w:rPr>
      </w:pPr>
      <w:bookmarkStart w:id="12" w:name="_Toc15377196"/>
      <w:bookmarkStart w:id="13" w:name="_Toc15396599"/>
      <w:r>
        <w:rPr>
          <w:rFonts w:hint="eastAsia" w:ascii="黑体" w:hAnsi="黑体" w:eastAsia="黑体"/>
          <w:b w:val="0"/>
          <w:color w:val="auto"/>
          <w:highlight w:val="none"/>
        </w:rPr>
        <w:t xml:space="preserve">第一部分 </w:t>
      </w:r>
      <w:r>
        <w:rPr>
          <w:rStyle w:val="30"/>
          <w:rFonts w:hint="eastAsia" w:ascii="黑体" w:hAnsi="黑体" w:eastAsia="黑体"/>
          <w:b w:val="0"/>
          <w:bCs w:val="0"/>
          <w:color w:val="auto"/>
          <w:highlight w:val="none"/>
        </w:rPr>
        <w:t>部门概况</w:t>
      </w:r>
      <w:bookmarkEnd w:id="12"/>
      <w:bookmarkEnd w:id="13"/>
    </w:p>
    <w:p>
      <w:pPr>
        <w:pStyle w:val="6"/>
        <w:pageBreakBefore w:val="0"/>
        <w:widowControl w:val="0"/>
        <w:kinsoku/>
        <w:wordWrap/>
        <w:overflowPunct/>
        <w:topLinePunct w:val="0"/>
        <w:autoSpaceDE/>
        <w:autoSpaceDN/>
        <w:bidi w:val="0"/>
        <w:spacing w:before="0" w:after="0" w:line="576" w:lineRule="exact"/>
        <w:ind w:firstLine="632" w:firstLineChars="200"/>
        <w:textAlignment w:val="auto"/>
        <w:rPr>
          <w:rFonts w:hint="eastAsia" w:ascii="黑体" w:hAnsi="黑体" w:eastAsia="黑体"/>
          <w:b w:val="0"/>
          <w:color w:val="auto"/>
          <w:highlight w:val="none"/>
          <w:lang w:eastAsia="zh-CN"/>
        </w:rPr>
      </w:pPr>
      <w:bookmarkStart w:id="14" w:name="_Toc15377197"/>
      <w:bookmarkStart w:id="15" w:name="_Toc15396600"/>
      <w:r>
        <w:rPr>
          <w:rFonts w:hint="eastAsia" w:ascii="黑体" w:hAnsi="黑体" w:eastAsia="黑体"/>
          <w:b w:val="0"/>
          <w:color w:val="auto"/>
          <w:highlight w:val="none"/>
        </w:rPr>
        <w:t>一、</w:t>
      </w:r>
      <w:bookmarkEnd w:id="14"/>
      <w:bookmarkEnd w:id="15"/>
      <w:bookmarkStart w:id="16" w:name="_Toc15377198"/>
      <w:bookmarkStart w:id="17" w:name="_Toc15378445"/>
      <w:r>
        <w:rPr>
          <w:rFonts w:hint="eastAsia" w:ascii="黑体" w:hAnsi="黑体" w:eastAsia="黑体"/>
          <w:b w:val="0"/>
          <w:color w:val="auto"/>
          <w:highlight w:val="none"/>
          <w:lang w:eastAsia="zh-CN"/>
        </w:rPr>
        <w:t>部门职责</w:t>
      </w:r>
    </w:p>
    <w:p>
      <w:pPr>
        <w:pStyle w:val="6"/>
        <w:pageBreakBefore w:val="0"/>
        <w:widowControl w:val="0"/>
        <w:kinsoku/>
        <w:wordWrap/>
        <w:overflowPunct/>
        <w:topLinePunct w:val="0"/>
        <w:autoSpaceDE/>
        <w:autoSpaceDN/>
        <w:bidi w:val="0"/>
        <w:spacing w:before="0" w:after="0" w:line="576" w:lineRule="exact"/>
        <w:ind w:firstLine="632" w:firstLineChars="200"/>
        <w:textAlignment w:val="auto"/>
        <w:rPr>
          <w:rFonts w:hint="eastAsia" w:ascii="方正楷体_GBK" w:hAnsi="方正楷体_GBK" w:eastAsia="方正楷体_GBK" w:cs="方正楷体_GBK"/>
          <w:bCs/>
          <w:color w:val="auto"/>
          <w:sz w:val="32"/>
          <w:szCs w:val="32"/>
          <w:highlight w:val="none"/>
        </w:rPr>
      </w:pPr>
      <w:r>
        <w:rPr>
          <w:rFonts w:hint="eastAsia" w:ascii="方正楷体_GBK" w:hAnsi="方正楷体_GBK" w:eastAsia="方正楷体_GBK" w:cs="方正楷体_GBK"/>
          <w:bCs/>
          <w:color w:val="auto"/>
          <w:sz w:val="32"/>
          <w:szCs w:val="32"/>
          <w:highlight w:val="none"/>
        </w:rPr>
        <w:t>（一）主要职能</w:t>
      </w:r>
      <w:bookmarkEnd w:id="16"/>
      <w:bookmarkEnd w:id="17"/>
    </w:p>
    <w:p>
      <w:pPr>
        <w:pageBreakBefore w:val="0"/>
        <w:widowControl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bookmarkStart w:id="18" w:name="_Toc15378446"/>
      <w:bookmarkStart w:id="19" w:name="_Toc15377199"/>
      <w:r>
        <w:rPr>
          <w:rFonts w:hint="eastAsia" w:ascii="仿宋_GB2312" w:hAnsi="仿宋_GB2312" w:eastAsia="仿宋_GB2312" w:cs="仿宋_GB2312"/>
          <w:color w:val="auto"/>
          <w:sz w:val="32"/>
          <w:szCs w:val="32"/>
          <w:highlight w:val="none"/>
          <w:lang w:val="en-US" w:eastAsia="zh-CN"/>
        </w:rPr>
        <w:t>中共遂宁市委党校（遂宁行政学院）是党领导的培养党的领导干部的学校，是干部教育培训的主阵地。中共遂宁市委党校（遂宁行政学院）是中共遂宁市委的重要部门，是培训全市各级领导干部的主渠道，是党的思想理论建设的重要阵地，是中共遂宁市委、遂宁市人民政府的哲学社会科学研究机构和重要智库，发挥“干部培训、思想引领、理论建设、决策咨询”的作用。</w:t>
      </w:r>
    </w:p>
    <w:p>
      <w:pPr>
        <w:pStyle w:val="6"/>
        <w:pageBreakBefore w:val="0"/>
        <w:widowControl w:val="0"/>
        <w:kinsoku/>
        <w:wordWrap/>
        <w:overflowPunct/>
        <w:topLinePunct w:val="0"/>
        <w:autoSpaceDE/>
        <w:autoSpaceDN/>
        <w:bidi w:val="0"/>
        <w:spacing w:before="0" w:after="0" w:line="576" w:lineRule="exact"/>
        <w:ind w:firstLine="632" w:firstLineChars="200"/>
        <w:textAlignment w:val="auto"/>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（二）20</w:t>
      </w:r>
      <w:r>
        <w:rPr>
          <w:rFonts w:hint="eastAsia" w:ascii="方正楷体_GBK" w:hAnsi="方正楷体_GBK" w:eastAsia="方正楷体_GBK" w:cs="方正楷体_GBK"/>
          <w:b/>
          <w:bCs/>
          <w:color w:val="auto"/>
          <w:sz w:val="32"/>
          <w:szCs w:val="32"/>
          <w:highlight w:val="none"/>
          <w:lang w:val="en-US" w:eastAsia="zh-CN"/>
        </w:rPr>
        <w:t>23</w:t>
      </w:r>
      <w:r>
        <w:rPr>
          <w:rFonts w:hint="eastAsia" w:ascii="方正楷体_GBK" w:hAnsi="方正楷体_GBK" w:eastAsia="方正楷体_GBK" w:cs="方正楷体_GBK"/>
          <w:b/>
          <w:bCs/>
          <w:color w:val="auto"/>
          <w:sz w:val="32"/>
          <w:szCs w:val="32"/>
          <w:highlight w:val="none"/>
        </w:rPr>
        <w:t>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948" w:firstLineChars="300"/>
        <w:jc w:val="both"/>
        <w:textAlignment w:val="auto"/>
        <w:rPr>
          <w:rFonts w:hint="default" w:ascii="Times New Roman" w:hAnsi="Times New Roman" w:eastAsia="仿宋_GB2312" w:cs="Times New Roman"/>
          <w:b w:val="0"/>
          <w:bCs w:val="0"/>
          <w:snapToGrid w:val="0"/>
          <w:kern w:val="0"/>
          <w:sz w:val="32"/>
          <w:szCs w:val="32"/>
          <w:shd w:val="clear" w:color="auto" w:fill="FFFFFF"/>
        </w:rPr>
      </w:pPr>
      <w:r>
        <w:rPr>
          <w:rFonts w:hint="default" w:ascii="Times New Roman" w:hAnsi="Times New Roman" w:eastAsia="仿宋_GB2312" w:cs="Times New Roman"/>
          <w:b w:val="0"/>
          <w:bCs w:val="0"/>
          <w:snapToGrid w:val="0"/>
          <w:kern w:val="0"/>
          <w:sz w:val="32"/>
          <w:szCs w:val="32"/>
          <w:shd w:val="clear" w:color="auto" w:fill="FFFFFF"/>
          <w:lang w:val="en-US" w:eastAsia="zh-CN"/>
        </w:rPr>
        <w:t>2023年</w:t>
      </w:r>
      <w:r>
        <w:rPr>
          <w:rFonts w:hint="default" w:ascii="Times New Roman" w:hAnsi="Times New Roman" w:eastAsia="仿宋_GB2312" w:cs="Times New Roman"/>
          <w:b w:val="0"/>
          <w:bCs w:val="0"/>
          <w:snapToGrid w:val="0"/>
          <w:kern w:val="0"/>
          <w:sz w:val="32"/>
          <w:szCs w:val="32"/>
          <w:shd w:val="clear" w:color="auto" w:fill="FFFFFF"/>
        </w:rPr>
        <w:t>，</w:t>
      </w:r>
      <w:r>
        <w:rPr>
          <w:rFonts w:hint="default" w:ascii="Times New Roman" w:hAnsi="Times New Roman" w:eastAsia="仿宋_GB2312" w:cs="Times New Roman"/>
          <w:b w:val="0"/>
          <w:bCs w:val="0"/>
          <w:snapToGrid w:val="0"/>
          <w:kern w:val="0"/>
          <w:sz w:val="32"/>
          <w:szCs w:val="32"/>
          <w:shd w:val="clear" w:color="auto" w:fill="FFFFFF"/>
          <w:lang w:eastAsia="zh-CN"/>
        </w:rPr>
        <w:t>中共遂宁市委党</w:t>
      </w:r>
      <w:r>
        <w:rPr>
          <w:rFonts w:hint="default" w:ascii="Times New Roman" w:hAnsi="Times New Roman" w:eastAsia="仿宋_GB2312" w:cs="Times New Roman"/>
          <w:b w:val="0"/>
          <w:bCs w:val="0"/>
          <w:snapToGrid w:val="0"/>
          <w:spacing w:val="-17"/>
          <w:kern w:val="12"/>
          <w:sz w:val="32"/>
          <w:szCs w:val="32"/>
          <w:shd w:val="clear" w:color="auto" w:fill="FFFFFF"/>
          <w:lang w:eastAsia="zh-CN"/>
        </w:rPr>
        <w:t>校</w:t>
      </w:r>
      <w:r>
        <w:rPr>
          <w:rFonts w:hint="default" w:ascii="Times New Roman" w:hAnsi="Times New Roman" w:eastAsia="仿宋_GB2312" w:cs="Times New Roman"/>
          <w:b w:val="0"/>
          <w:bCs w:val="0"/>
          <w:snapToGrid w:val="0"/>
          <w:spacing w:val="-11"/>
          <w:kern w:val="12"/>
          <w:sz w:val="32"/>
          <w:szCs w:val="32"/>
          <w:shd w:val="clear" w:color="auto" w:fill="FFFFFF"/>
          <w:lang w:eastAsia="zh-CN"/>
        </w:rPr>
        <w:t>（遂宁行政学院）坚持</w:t>
      </w:r>
      <w:r>
        <w:rPr>
          <w:rFonts w:hint="default" w:ascii="Times New Roman" w:hAnsi="Times New Roman" w:eastAsia="仿宋_GB2312" w:cs="Times New Roman"/>
          <w:b w:val="0"/>
          <w:bCs w:val="0"/>
          <w:snapToGrid w:val="0"/>
          <w:spacing w:val="-11"/>
          <w:kern w:val="12"/>
          <w:sz w:val="32"/>
          <w:szCs w:val="32"/>
          <w:shd w:val="clear" w:color="auto" w:fill="FFFFFF"/>
        </w:rPr>
        <w:t>以习近平</w:t>
      </w:r>
      <w:r>
        <w:rPr>
          <w:rFonts w:hint="default" w:ascii="Times New Roman" w:hAnsi="Times New Roman" w:eastAsia="仿宋_GB2312" w:cs="Times New Roman"/>
          <w:b w:val="0"/>
          <w:bCs w:val="0"/>
          <w:snapToGrid w:val="0"/>
          <w:kern w:val="0"/>
          <w:sz w:val="32"/>
          <w:szCs w:val="32"/>
          <w:shd w:val="clear" w:color="auto" w:fill="FFFFFF"/>
        </w:rPr>
        <w:t>新时代中国特色社会主义思想为指导，</w:t>
      </w:r>
      <w:r>
        <w:rPr>
          <w:rFonts w:hint="default" w:ascii="Times New Roman" w:hAnsi="Times New Roman" w:eastAsia="仿宋_GB2312" w:cs="Times New Roman"/>
          <w:b w:val="0"/>
          <w:bCs w:val="0"/>
          <w:snapToGrid w:val="0"/>
          <w:kern w:val="0"/>
          <w:sz w:val="32"/>
          <w:szCs w:val="32"/>
          <w:shd w:val="clear" w:color="auto" w:fill="FFFFFF"/>
          <w:lang w:eastAsia="zh-CN"/>
        </w:rPr>
        <w:t>深入贯彻落实党中央和省委、市委决策部署，特别是</w:t>
      </w:r>
      <w:r>
        <w:rPr>
          <w:rFonts w:hint="default" w:ascii="Times New Roman" w:hAnsi="Times New Roman" w:eastAsia="仿宋_GB2312" w:cs="Times New Roman"/>
          <w:b w:val="0"/>
          <w:bCs w:val="0"/>
          <w:snapToGrid w:val="0"/>
          <w:kern w:val="0"/>
          <w:sz w:val="32"/>
          <w:szCs w:val="32"/>
          <w:shd w:val="clear" w:color="auto" w:fill="FFFFFF"/>
          <w:lang w:val="en-US" w:eastAsia="zh-CN"/>
        </w:rPr>
        <w:t>4月28日市委调整校（院）领导班子主要成员以来，新班子始终坚定“党校姓党”的根本原则，始终坚定“围绕中心、服务大局”的政治站位，始终坚守“为党育才、为党献策”的党校初心，始终坚持“从严治校”的基本方针和“质量立校”的重要遵循，全力对标跨越、提质提速、赶超进位，有力推进干部培训、思想引领、理论建设、决策咨询各项工作不断取得新的进展和成效。</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b w:val="0"/>
          <w:bCs w:val="0"/>
          <w:snapToGrid w:val="0"/>
          <w:kern w:val="0"/>
          <w:sz w:val="32"/>
          <w:szCs w:val="32"/>
          <w:shd w:val="clear" w:color="auto" w:fill="FFFFFF"/>
          <w:lang w:val="en-US" w:eastAsia="zh-CN"/>
        </w:rPr>
      </w:pPr>
      <w:bookmarkStart w:id="20" w:name="_Toc15396601"/>
      <w:bookmarkStart w:id="21" w:name="_Toc15377200"/>
      <w:r>
        <w:rPr>
          <w:rFonts w:hint="eastAsia" w:eastAsia="楷体_GB2312" w:cs="Times New Roman"/>
          <w:b/>
          <w:bCs/>
          <w:snapToGrid w:val="0"/>
          <w:kern w:val="0"/>
          <w:sz w:val="32"/>
          <w:szCs w:val="32"/>
          <w:shd w:val="clear" w:color="auto" w:fill="FFFFFF"/>
          <w:lang w:val="en-US" w:eastAsia="zh-CN"/>
        </w:rPr>
        <w:t>1.</w:t>
      </w:r>
      <w:r>
        <w:rPr>
          <w:rFonts w:hint="default" w:ascii="Times New Roman" w:hAnsi="Times New Roman" w:eastAsia="仿宋_GB2312" w:cs="Times New Roman"/>
          <w:b/>
          <w:bCs/>
          <w:snapToGrid w:val="0"/>
          <w:kern w:val="0"/>
          <w:sz w:val="32"/>
          <w:szCs w:val="32"/>
          <w:shd w:val="clear" w:color="auto" w:fill="FFFFFF"/>
          <w:lang w:val="en-US" w:eastAsia="zh-CN"/>
        </w:rPr>
        <w:t>突出规范提质，在发挥独特价值中为党育才取得新成效</w:t>
      </w:r>
      <w:r>
        <w:rPr>
          <w:rFonts w:hint="default" w:ascii="Times New Roman" w:hAnsi="Times New Roman" w:eastAsia="楷体_GB2312" w:cs="Times New Roman"/>
          <w:b w:val="0"/>
          <w:bCs w:val="0"/>
          <w:snapToGrid w:val="0"/>
          <w:kern w:val="0"/>
          <w:sz w:val="32"/>
          <w:szCs w:val="32"/>
          <w:shd w:val="clear" w:color="auto" w:fill="FFFFFF"/>
          <w:lang w:val="en-US" w:eastAsia="zh-CN"/>
        </w:rPr>
        <w:t>。</w:t>
      </w:r>
      <w:r>
        <w:rPr>
          <w:rFonts w:hint="default" w:ascii="Times New Roman" w:hAnsi="Times New Roman" w:eastAsia="仿宋_GB2312" w:cs="Times New Roman"/>
          <w:b w:val="0"/>
          <w:bCs w:val="0"/>
          <w:snapToGrid w:val="0"/>
          <w:kern w:val="0"/>
          <w:sz w:val="32"/>
          <w:szCs w:val="32"/>
          <w:shd w:val="clear" w:color="auto" w:fill="FFFFFF"/>
          <w:lang w:val="en-US" w:eastAsia="zh-CN"/>
        </w:rPr>
        <w:t>一是规范班次学制。始终坚持以习近平新时代中国特色社会主义思想为教学布局的中心内容和首要任务，突出党的理论教育和党性教育的主业主课地位，严格执行主体班课程标准，探索打造“1+2+N”培训主体矩阵，党的理论教育和党性教育课程占比从75.3%提升到87.4%，党的理论教育更加系统深入、党性教育更加触及灵魂、履职能力培训更加精准高效。二是健全教学制度。2023年5月以来，先后出台修订《教学管理和学员管理安全责任制度（试行）》《组织员（班主任）管理制度（试行）》《主体班学员量化考核管理办法（修订）》《主体班学员临时党支部工作制度（试行）》等系列制度，建立起涵盖教学管理、学员管理、组织员（班主任）管理三大模块的21项教务管理制度体系，从干训计划到班次计划，从学期教学计划到各班次实施方案，从档案收集到财务报销，各环节有章可循，全流程闭环管理。三是创新教学方式。在传统讲授式教学的基础之上，积极拓展新的教学方式，大力开展案例式教学、情景模拟教学、行动学习、学员微党课、学员联合论坛、小组专题研讨、红色教育现场教学等，不同程度采用“专家解读+领导干部领学+学员自学+小组交流”等培训方式。先后组织学员赴小平干部学院、延安市委党校、大巴山干部学院、江西干部学院、“两弹一星”干部学院以及湖州市委党校等开展异地教学90余场次；先后邀请省委党校、知名高校等专家教授到校授课67人次。四是提升培训质效。全年举办各级各类培训班</w:t>
      </w:r>
      <w:r>
        <w:rPr>
          <w:rFonts w:hint="default" w:ascii="Times New Roman" w:hAnsi="Times New Roman" w:eastAsia="仿宋_GB2312" w:cs="Times New Roman"/>
          <w:b w:val="0"/>
          <w:bCs w:val="0"/>
          <w:snapToGrid w:val="0"/>
          <w:kern w:val="0"/>
          <w:sz w:val="32"/>
          <w:szCs w:val="32"/>
          <w:shd w:val="clear" w:color="auto" w:fill="FFFFFF"/>
          <w:lang w:val="en" w:eastAsia="zh-CN"/>
        </w:rPr>
        <w:t>105期，培训学员10006人次，其中：</w:t>
      </w:r>
      <w:r>
        <w:rPr>
          <w:rFonts w:hint="default" w:ascii="Times New Roman" w:hAnsi="Times New Roman" w:eastAsia="仿宋_GB2312" w:cs="Times New Roman"/>
          <w:b w:val="0"/>
          <w:bCs w:val="0"/>
          <w:snapToGrid w:val="0"/>
          <w:kern w:val="0"/>
          <w:sz w:val="32"/>
          <w:szCs w:val="32"/>
          <w:shd w:val="clear" w:color="auto" w:fill="FFFFFF"/>
          <w:lang w:val="en-US" w:eastAsia="zh-CN"/>
        </w:rPr>
        <w:t>市级主体班次1</w:t>
      </w:r>
      <w:r>
        <w:rPr>
          <w:rFonts w:hint="default" w:ascii="Times New Roman" w:hAnsi="Times New Roman" w:eastAsia="仿宋_GB2312" w:cs="Times New Roman"/>
          <w:b w:val="0"/>
          <w:bCs w:val="0"/>
          <w:snapToGrid w:val="0"/>
          <w:kern w:val="0"/>
          <w:sz w:val="32"/>
          <w:szCs w:val="32"/>
          <w:shd w:val="clear" w:color="auto" w:fill="FFFFFF"/>
          <w:lang w:val="en" w:eastAsia="zh-CN"/>
        </w:rPr>
        <w:t>9</w:t>
      </w:r>
      <w:r>
        <w:rPr>
          <w:rFonts w:hint="default" w:ascii="Times New Roman" w:hAnsi="Times New Roman" w:eastAsia="仿宋_GB2312" w:cs="Times New Roman"/>
          <w:b w:val="0"/>
          <w:bCs w:val="0"/>
          <w:snapToGrid w:val="0"/>
          <w:kern w:val="0"/>
          <w:sz w:val="32"/>
          <w:szCs w:val="32"/>
          <w:shd w:val="clear" w:color="auto" w:fill="FFFFFF"/>
          <w:lang w:val="en-US" w:eastAsia="zh-CN"/>
        </w:rPr>
        <w:t>期，培训学员</w:t>
      </w:r>
      <w:r>
        <w:rPr>
          <w:rFonts w:hint="default" w:ascii="Times New Roman" w:hAnsi="Times New Roman" w:eastAsia="仿宋_GB2312" w:cs="Times New Roman"/>
          <w:b w:val="0"/>
          <w:bCs w:val="0"/>
          <w:snapToGrid w:val="0"/>
          <w:kern w:val="0"/>
          <w:sz w:val="32"/>
          <w:szCs w:val="32"/>
          <w:shd w:val="clear" w:color="auto" w:fill="FFFFFF"/>
          <w:lang w:val="en" w:eastAsia="zh-CN"/>
        </w:rPr>
        <w:t>1955</w:t>
      </w:r>
      <w:r>
        <w:rPr>
          <w:rFonts w:hint="default" w:ascii="Times New Roman" w:hAnsi="Times New Roman" w:eastAsia="仿宋_GB2312" w:cs="Times New Roman"/>
          <w:b w:val="0"/>
          <w:bCs w:val="0"/>
          <w:snapToGrid w:val="0"/>
          <w:kern w:val="0"/>
          <w:sz w:val="32"/>
          <w:szCs w:val="32"/>
          <w:shd w:val="clear" w:color="auto" w:fill="FFFFFF"/>
          <w:lang w:val="en-US" w:eastAsia="zh-CN"/>
        </w:rPr>
        <w:t>人次；统筹举办四所县（区）党校主体班</w:t>
      </w:r>
      <w:r>
        <w:rPr>
          <w:rFonts w:hint="default" w:ascii="Times New Roman" w:hAnsi="Times New Roman" w:eastAsia="仿宋_GB2312" w:cs="Times New Roman"/>
          <w:b w:val="0"/>
          <w:bCs w:val="0"/>
          <w:snapToGrid w:val="0"/>
          <w:kern w:val="0"/>
          <w:sz w:val="32"/>
          <w:szCs w:val="32"/>
          <w:shd w:val="clear" w:color="auto" w:fill="FFFFFF"/>
          <w:lang w:val="en" w:eastAsia="zh-CN"/>
        </w:rPr>
        <w:t>20</w:t>
      </w:r>
      <w:r>
        <w:rPr>
          <w:rFonts w:hint="default" w:ascii="Times New Roman" w:hAnsi="Times New Roman" w:eastAsia="仿宋_GB2312" w:cs="Times New Roman"/>
          <w:b w:val="0"/>
          <w:bCs w:val="0"/>
          <w:snapToGrid w:val="0"/>
          <w:kern w:val="0"/>
          <w:sz w:val="32"/>
          <w:szCs w:val="32"/>
          <w:shd w:val="clear" w:color="auto" w:fill="FFFFFF"/>
          <w:lang w:val="en-US" w:eastAsia="zh-CN"/>
        </w:rPr>
        <w:t>期，培训学员</w:t>
      </w:r>
      <w:r>
        <w:rPr>
          <w:rFonts w:hint="default" w:ascii="Times New Roman" w:hAnsi="Times New Roman" w:eastAsia="仿宋_GB2312" w:cs="Times New Roman"/>
          <w:b w:val="0"/>
          <w:bCs w:val="0"/>
          <w:snapToGrid w:val="0"/>
          <w:kern w:val="0"/>
          <w:sz w:val="32"/>
          <w:szCs w:val="32"/>
          <w:shd w:val="clear" w:color="auto" w:fill="FFFFFF"/>
          <w:lang w:val="en" w:eastAsia="zh-CN"/>
        </w:rPr>
        <w:t>941</w:t>
      </w:r>
      <w:r>
        <w:rPr>
          <w:rFonts w:hint="default" w:ascii="Times New Roman" w:hAnsi="Times New Roman" w:eastAsia="仿宋_GB2312" w:cs="Times New Roman"/>
          <w:b w:val="0"/>
          <w:bCs w:val="0"/>
          <w:snapToGrid w:val="0"/>
          <w:kern w:val="0"/>
          <w:sz w:val="32"/>
          <w:szCs w:val="32"/>
          <w:shd w:val="clear" w:color="auto" w:fill="FFFFFF"/>
          <w:lang w:val="en-US" w:eastAsia="zh-CN"/>
        </w:rPr>
        <w:t>人次；承办部门委托办班和计划外班次</w:t>
      </w:r>
      <w:r>
        <w:rPr>
          <w:rFonts w:hint="default" w:ascii="Times New Roman" w:hAnsi="Times New Roman" w:eastAsia="仿宋_GB2312" w:cs="Times New Roman"/>
          <w:b w:val="0"/>
          <w:bCs w:val="0"/>
          <w:snapToGrid w:val="0"/>
          <w:kern w:val="0"/>
          <w:sz w:val="32"/>
          <w:szCs w:val="32"/>
          <w:shd w:val="clear" w:color="auto" w:fill="FFFFFF"/>
          <w:lang w:val="en" w:eastAsia="zh-CN"/>
        </w:rPr>
        <w:t>42</w:t>
      </w:r>
      <w:r>
        <w:rPr>
          <w:rFonts w:hint="default" w:ascii="Times New Roman" w:hAnsi="Times New Roman" w:eastAsia="仿宋_GB2312" w:cs="Times New Roman"/>
          <w:b w:val="0"/>
          <w:bCs w:val="0"/>
          <w:snapToGrid w:val="0"/>
          <w:kern w:val="0"/>
          <w:sz w:val="32"/>
          <w:szCs w:val="32"/>
          <w:shd w:val="clear" w:color="auto" w:fill="FFFFFF"/>
          <w:lang w:val="en-US" w:eastAsia="zh-CN"/>
        </w:rPr>
        <w:t>期，培训学员</w:t>
      </w:r>
      <w:r>
        <w:rPr>
          <w:rFonts w:hint="default" w:ascii="Times New Roman" w:hAnsi="Times New Roman" w:eastAsia="仿宋_GB2312" w:cs="Times New Roman"/>
          <w:b w:val="0"/>
          <w:bCs w:val="0"/>
          <w:snapToGrid w:val="0"/>
          <w:kern w:val="0"/>
          <w:sz w:val="32"/>
          <w:szCs w:val="32"/>
          <w:shd w:val="clear" w:color="auto" w:fill="FFFFFF"/>
          <w:lang w:val="en" w:eastAsia="zh-CN"/>
        </w:rPr>
        <w:t>3316</w:t>
      </w:r>
      <w:r>
        <w:rPr>
          <w:rFonts w:hint="default" w:ascii="Times New Roman" w:hAnsi="Times New Roman" w:eastAsia="仿宋_GB2312" w:cs="Times New Roman"/>
          <w:b w:val="0"/>
          <w:bCs w:val="0"/>
          <w:snapToGrid w:val="0"/>
          <w:kern w:val="0"/>
          <w:sz w:val="32"/>
          <w:szCs w:val="32"/>
          <w:shd w:val="clear" w:color="auto" w:fill="FFFFFF"/>
          <w:lang w:val="en-US" w:eastAsia="zh-CN"/>
        </w:rPr>
        <w:t>人次；承接省直机关工委、省医保局、省妇联、省档案馆、重庆市涪陵区委宣传部以及雅安、资中、理县等市外培训班</w:t>
      </w:r>
      <w:r>
        <w:rPr>
          <w:rFonts w:hint="default" w:ascii="Times New Roman" w:hAnsi="Times New Roman" w:eastAsia="仿宋_GB2312" w:cs="Times New Roman"/>
          <w:b w:val="0"/>
          <w:bCs w:val="0"/>
          <w:snapToGrid w:val="0"/>
          <w:kern w:val="0"/>
          <w:sz w:val="32"/>
          <w:szCs w:val="32"/>
          <w:shd w:val="clear" w:color="auto" w:fill="FFFFFF"/>
          <w:lang w:val="en" w:eastAsia="zh-CN"/>
        </w:rPr>
        <w:t>15期，培训学员899</w:t>
      </w:r>
      <w:r>
        <w:rPr>
          <w:rFonts w:hint="default" w:ascii="Times New Roman" w:hAnsi="Times New Roman" w:eastAsia="仿宋_GB2312" w:cs="Times New Roman"/>
          <w:b w:val="0"/>
          <w:bCs w:val="0"/>
          <w:snapToGrid w:val="0"/>
          <w:kern w:val="0"/>
          <w:sz w:val="32"/>
          <w:szCs w:val="32"/>
          <w:shd w:val="clear" w:color="auto" w:fill="FFFFFF"/>
          <w:lang w:val="en-US" w:eastAsia="zh-CN"/>
        </w:rPr>
        <w:t>人次</w:t>
      </w:r>
      <w:r>
        <w:rPr>
          <w:rFonts w:hint="default" w:ascii="Times New Roman" w:hAnsi="Times New Roman" w:eastAsia="仿宋_GB2312" w:cs="Times New Roman"/>
          <w:b w:val="0"/>
          <w:bCs w:val="0"/>
          <w:snapToGrid w:val="0"/>
          <w:kern w:val="0"/>
          <w:sz w:val="32"/>
          <w:szCs w:val="32"/>
          <w:shd w:val="clear" w:color="auto" w:fill="FFFFFF"/>
          <w:lang w:val="en" w:eastAsia="zh-CN"/>
        </w:rPr>
        <w:t>；</w:t>
      </w:r>
      <w:r>
        <w:rPr>
          <w:rFonts w:hint="default" w:ascii="Times New Roman" w:hAnsi="Times New Roman" w:eastAsia="仿宋_GB2312" w:cs="Times New Roman"/>
          <w:b w:val="0"/>
          <w:bCs w:val="0"/>
          <w:snapToGrid w:val="0"/>
          <w:kern w:val="0"/>
          <w:sz w:val="32"/>
          <w:szCs w:val="32"/>
          <w:shd w:val="clear" w:color="auto" w:fill="FFFFFF"/>
          <w:lang w:val="en-US" w:eastAsia="zh-CN"/>
        </w:rPr>
        <w:t>承办“遂州干部教育大讲堂”9期</w:t>
      </w:r>
      <w:r>
        <w:rPr>
          <w:rFonts w:hint="default" w:ascii="Times New Roman" w:hAnsi="Times New Roman" w:eastAsia="仿宋_GB2312" w:cs="Times New Roman"/>
          <w:b w:val="0"/>
          <w:bCs w:val="0"/>
          <w:snapToGrid w:val="0"/>
          <w:kern w:val="0"/>
          <w:sz w:val="32"/>
          <w:szCs w:val="32"/>
          <w:shd w:val="clear" w:color="auto" w:fill="FFFFFF"/>
          <w:lang w:val="en" w:eastAsia="zh-CN"/>
        </w:rPr>
        <w:t>,</w:t>
      </w:r>
      <w:r>
        <w:rPr>
          <w:rFonts w:hint="default" w:ascii="Times New Roman" w:hAnsi="Times New Roman" w:eastAsia="仿宋_GB2312" w:cs="Times New Roman"/>
          <w:b w:val="0"/>
          <w:bCs w:val="0"/>
          <w:snapToGrid w:val="0"/>
          <w:kern w:val="0"/>
          <w:sz w:val="32"/>
          <w:szCs w:val="32"/>
          <w:shd w:val="clear" w:color="auto" w:fill="FFFFFF"/>
          <w:lang w:val="en-US" w:eastAsia="zh-CN"/>
        </w:rPr>
        <w:t>培训干部2895人次。2023年办班期数、培训人数分别同比增长28%、58%，学员满意度测评达98.61%以上。五是抓好在职研究生教育和政治理论测试。全年完成研究生学员学籍注册234人，查验毕业学员学籍档案220余人次，2020级毕业班学员论文过关率达98%，在职研究生招生工作、期末考试组织工作，得到省委党校研究生部通报表扬。全年共开展新任市厅级县处级党政领导干部、拟任县处级党政领导干部和科级领导干部政治理论水平测试8次，参与测试2330人次。</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b w:val="0"/>
          <w:bCs w:val="0"/>
          <w:snapToGrid w:val="0"/>
          <w:kern w:val="0"/>
          <w:sz w:val="32"/>
          <w:szCs w:val="32"/>
          <w:shd w:val="clear" w:color="auto" w:fill="FFFFFF"/>
          <w:lang w:val="en-US" w:eastAsia="zh-CN"/>
        </w:rPr>
      </w:pPr>
      <w:r>
        <w:rPr>
          <w:rFonts w:hint="eastAsia" w:eastAsia="楷体_GB2312" w:cs="Times New Roman"/>
          <w:b/>
          <w:bCs/>
          <w:snapToGrid w:val="0"/>
          <w:kern w:val="0"/>
          <w:sz w:val="32"/>
          <w:szCs w:val="32"/>
          <w:shd w:val="clear" w:color="auto" w:fill="FFFFFF"/>
          <w:lang w:val="en-US" w:eastAsia="zh-CN"/>
        </w:rPr>
        <w:t>2.</w:t>
      </w:r>
      <w:r>
        <w:rPr>
          <w:rFonts w:hint="default" w:ascii="Times New Roman" w:hAnsi="Times New Roman" w:eastAsia="仿宋_GB2312" w:cs="Times New Roman"/>
          <w:b/>
          <w:bCs/>
          <w:snapToGrid w:val="0"/>
          <w:kern w:val="0"/>
          <w:sz w:val="32"/>
          <w:szCs w:val="32"/>
          <w:shd w:val="clear" w:color="auto" w:fill="FFFFFF"/>
          <w:lang w:val="en-US" w:eastAsia="zh-CN"/>
        </w:rPr>
        <w:t>突出服务大局，在履行重要职责中为党献策实现新突破</w:t>
      </w:r>
      <w:r>
        <w:rPr>
          <w:rFonts w:hint="default" w:ascii="Times New Roman" w:hAnsi="Times New Roman" w:eastAsia="楷体_GB2312" w:cs="Times New Roman"/>
          <w:b w:val="0"/>
          <w:bCs w:val="0"/>
          <w:snapToGrid w:val="0"/>
          <w:kern w:val="0"/>
          <w:sz w:val="32"/>
          <w:szCs w:val="32"/>
          <w:shd w:val="clear" w:color="auto" w:fill="FFFFFF"/>
          <w:lang w:val="en-US" w:eastAsia="zh-CN"/>
        </w:rPr>
        <w:t>。</w:t>
      </w:r>
      <w:r>
        <w:rPr>
          <w:rFonts w:hint="default" w:ascii="Times New Roman" w:hAnsi="Times New Roman" w:eastAsia="仿宋_GB2312" w:cs="Times New Roman"/>
          <w:b w:val="0"/>
          <w:bCs w:val="0"/>
          <w:snapToGrid w:val="0"/>
          <w:kern w:val="0"/>
          <w:sz w:val="32"/>
          <w:szCs w:val="32"/>
          <w:shd w:val="clear" w:color="auto" w:fill="FFFFFF"/>
          <w:lang w:val="en-US" w:eastAsia="zh-CN"/>
        </w:rPr>
        <w:t>一是做深思想引领。组织全市党校系统深入开展理论研究阐释，全年公开发表理论文章52篇，其中在《中共成都市委党校学报》《当代县域经济》等知名期刊发表8篇，先后获得四川省党校</w:t>
      </w:r>
      <w:r>
        <w:rPr>
          <w:rFonts w:hint="eastAsia" w:ascii="Times New Roman" w:hAnsi="Times New Roman" w:eastAsia="仿宋_GB2312" w:cs="Times New Roman"/>
          <w:b w:val="0"/>
          <w:bCs w:val="0"/>
          <w:snapToGrid w:val="0"/>
          <w:kern w:val="0"/>
          <w:sz w:val="32"/>
          <w:szCs w:val="32"/>
          <w:shd w:val="clear" w:color="auto" w:fill="FFFFFF"/>
          <w:lang w:val="en-US" w:eastAsia="zh-CN"/>
        </w:rPr>
        <w:t>（</w:t>
      </w:r>
      <w:r>
        <w:rPr>
          <w:rFonts w:hint="default" w:ascii="Times New Roman" w:hAnsi="Times New Roman" w:eastAsia="仿宋_GB2312" w:cs="Times New Roman"/>
          <w:b w:val="0"/>
          <w:bCs w:val="0"/>
          <w:snapToGrid w:val="0"/>
          <w:kern w:val="0"/>
          <w:sz w:val="32"/>
          <w:szCs w:val="32"/>
          <w:shd w:val="clear" w:color="auto" w:fill="FFFFFF"/>
          <w:lang w:val="en-US" w:eastAsia="zh-CN"/>
        </w:rPr>
        <w:t>行政学院</w:t>
      </w:r>
      <w:r>
        <w:rPr>
          <w:rFonts w:hint="eastAsia" w:ascii="Times New Roman" w:hAnsi="Times New Roman" w:eastAsia="仿宋_GB2312" w:cs="Times New Roman"/>
          <w:b w:val="0"/>
          <w:bCs w:val="0"/>
          <w:snapToGrid w:val="0"/>
          <w:kern w:val="0"/>
          <w:sz w:val="32"/>
          <w:szCs w:val="32"/>
          <w:shd w:val="clear" w:color="auto" w:fill="FFFFFF"/>
          <w:lang w:val="en-US" w:eastAsia="zh-CN"/>
        </w:rPr>
        <w:t>）</w:t>
      </w:r>
      <w:r>
        <w:rPr>
          <w:rFonts w:hint="default" w:ascii="Times New Roman" w:hAnsi="Times New Roman" w:eastAsia="仿宋_GB2312" w:cs="Times New Roman"/>
          <w:b w:val="0"/>
          <w:bCs w:val="0"/>
          <w:snapToGrid w:val="0"/>
          <w:kern w:val="0"/>
          <w:sz w:val="32"/>
          <w:szCs w:val="32"/>
          <w:shd w:val="clear" w:color="auto" w:fill="FFFFFF"/>
          <w:lang w:val="en-US" w:eastAsia="zh-CN"/>
        </w:rPr>
        <w:t>系统第十三届科研优秀成果、决策咨询优秀成果以及全市机关党建理论研究成果一等奖等多个省市奖项。深化与《遂宁日报》合作，校（院）教职工积极围绕“学习贯彻习近平新时代中国特色社会主义思想”“习近平总书记来川视察重要指示精神”等主题发表理论文章22篇。二是做透调查研究。聚焦国之大者、省之要者、遂之重者大兴调查研究，领导班子带头担任重大课题负责人，教研人员走出教室“小课堂”、走进社会“大课堂”，全年完成省市各级调研项目46项，其中完成全省党校系统研究课题9项、全市社科研究课题16项；牵头规划完成全市党校系统研究课题34项，提交省社科规划项目（青年项目）申报材料3项、省社会主义学院项目申报材料1项，完成《筑“三城”兴“三都”建设成渝中部现代化建设示范市的思考与实践》等绿色发展研究成果7项。三是做好决策咨询。积极组织开展前瞻性、战略性、应用性研究，抓好科研成果向咨政建议转化，推进《理论视点》向《咨政建</w:t>
      </w:r>
      <w:r>
        <w:rPr>
          <w:rFonts w:hint="default" w:ascii="Times New Roman" w:hAnsi="Times New Roman" w:eastAsia="仿宋_GB2312" w:cs="Times New Roman"/>
          <w:b w:val="0"/>
          <w:bCs w:val="0"/>
          <w:snapToGrid w:val="0"/>
          <w:kern w:val="0"/>
          <w:sz w:val="32"/>
          <w:szCs w:val="32"/>
          <w:shd w:val="clear" w:color="auto" w:fill="FFFFFF"/>
          <w:lang w:eastAsia="zh-CN"/>
        </w:rPr>
        <w:t>议</w:t>
      </w:r>
      <w:r>
        <w:rPr>
          <w:rFonts w:hint="default" w:ascii="Times New Roman" w:hAnsi="Times New Roman" w:eastAsia="仿宋_GB2312" w:cs="Times New Roman"/>
          <w:b w:val="0"/>
          <w:bCs w:val="0"/>
          <w:snapToGrid w:val="0"/>
          <w:kern w:val="0"/>
          <w:sz w:val="32"/>
          <w:szCs w:val="32"/>
          <w:shd w:val="clear" w:color="auto" w:fill="FFFFFF"/>
          <w:lang w:val="en-US" w:eastAsia="zh-CN"/>
        </w:rPr>
        <w:t>》改版，全年编辑咨政报告5篇，全市党校系统5篇咨政报告获得同级（或上级）党委政府领导肯定性批示。全年围绕“决策咨询报告的选题和写作”“如何组织撰写重大研究报告与专著、学术论文的写作与发表”等，组织召开全市党校系统科研咨政提能培训会2期，全面提升全市党校（行政学院）系统教师科研能力和水平。四是做大学术交流。面向全市党校系统开展主题征文，组织教研人员“以文参会”，《四川省新型工业化发展水平比较研究——基于18个地级市数据》等16篇次论文分别入选全省党校（行政学院）系统“学习贯彻党的二十大精神推动成渝地区双城经济圈高质量发展”等高级别学术研讨会，教职工全年参与各级学术交流活动达20人次。2023年10月，校（院）承办的高层次大规模的“川渝蓉两地三方党校（行政学院）系统科研协作暨成渝中部地区高质量发展理论研讨会”，受到了与会领导和专家学者的交口赞誉。</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b w:val="0"/>
          <w:bCs w:val="0"/>
          <w:snapToGrid w:val="0"/>
          <w:kern w:val="0"/>
          <w:sz w:val="32"/>
          <w:szCs w:val="32"/>
          <w:shd w:val="clear" w:color="auto" w:fill="FFFFFF"/>
          <w:lang w:val="en-US" w:eastAsia="zh-CN"/>
        </w:rPr>
      </w:pPr>
      <w:r>
        <w:rPr>
          <w:rFonts w:hint="eastAsia" w:ascii="Times New Roman" w:hAnsi="Times New Roman" w:eastAsia="仿宋_GB2312" w:cs="Times New Roman"/>
          <w:b/>
          <w:bCs/>
          <w:snapToGrid w:val="0"/>
          <w:kern w:val="0"/>
          <w:sz w:val="32"/>
          <w:szCs w:val="32"/>
          <w:shd w:val="clear" w:color="auto" w:fill="FFFFFF"/>
          <w:lang w:val="en-US" w:eastAsia="zh-CN"/>
        </w:rPr>
        <w:t>3.</w:t>
      </w:r>
      <w:r>
        <w:rPr>
          <w:rFonts w:hint="default" w:ascii="Times New Roman" w:hAnsi="Times New Roman" w:eastAsia="仿宋_GB2312" w:cs="Times New Roman"/>
          <w:b/>
          <w:bCs/>
          <w:snapToGrid w:val="0"/>
          <w:kern w:val="0"/>
          <w:sz w:val="32"/>
          <w:szCs w:val="32"/>
          <w:shd w:val="clear" w:color="auto" w:fill="FFFFFF"/>
          <w:lang w:val="en-US" w:eastAsia="zh-CN"/>
        </w:rPr>
        <w:t>突出从严从实，在转变校风教学学风中从严治校焕发新面貌</w:t>
      </w:r>
      <w:r>
        <w:rPr>
          <w:rFonts w:hint="default" w:ascii="Times New Roman" w:hAnsi="Times New Roman" w:eastAsia="楷体_GB2312" w:cs="Times New Roman"/>
          <w:b w:val="0"/>
          <w:bCs w:val="0"/>
          <w:snapToGrid w:val="0"/>
          <w:kern w:val="0"/>
          <w:sz w:val="32"/>
          <w:szCs w:val="32"/>
          <w:shd w:val="clear" w:color="auto" w:fill="FFFFFF"/>
          <w:lang w:val="en-US" w:eastAsia="zh-CN"/>
        </w:rPr>
        <w:t>。</w:t>
      </w:r>
      <w:r>
        <w:rPr>
          <w:rFonts w:hint="default" w:ascii="Times New Roman" w:hAnsi="Times New Roman" w:eastAsia="仿宋_GB2312" w:cs="Times New Roman"/>
          <w:b w:val="0"/>
          <w:bCs w:val="0"/>
          <w:snapToGrid w:val="0"/>
          <w:kern w:val="0"/>
          <w:sz w:val="32"/>
          <w:szCs w:val="32"/>
          <w:shd w:val="clear" w:color="auto" w:fill="FFFFFF"/>
          <w:lang w:val="en-US" w:eastAsia="zh-CN"/>
        </w:rPr>
        <w:t>一是从严履职。严格坚持校（院）委会“第一议题”学习习近平新时代中国特色社会主义思想制度，扎实开展学习贯彻习近平新时代中国特色社会主义思想主题教育，召开主题教育部署大会1次、领导小组会2次，开展理论中心组学习专题研讨6次，相关做法经验被市委《主题教育工作简报》刊载4次、省委党校《四川党校通讯》刊载1次。严格落实党风廉政建设责任制，严格坚持民主集中制，严格遵守财经纪律，将国家安全责任制、保密工作责任制、安全生产工作责任制、食品安全责任制等纳入校（院）工作总体部署，严格加强招投标、职称评审、岗位竞聘等监督管理。始终把意识形态（网络意识形态）工作作为极端重要工作来抓，每季度定期开展分析研判，全面守牢党的意识形态前沿阵地。严肃党内政治生活，抓好党支部规范化建设，严格落实“三会一课”、主题党日活动等制度，全年组织开展讲专题廉政党课3次、以案警示教育7次、“书记听廉”专题会议1次，表扬优秀党员11名、优秀党务干部2名，培养入党积极分子1名，顺利完成工会和妇委会换届。二是从严治校。始终坚持把旗帜鲜明讲政治摆在首位，2023年5月以来，校园文化建设突出“党校姓党”，更新完善教学楼、学员宿舍餐厅等关键点位标识标牌100余处，成立工作专班开展网络意识形态问题专项清理，全面清理过时信息1500余条，对校（院）门户网站和微信公众号全面改版升级，微信公众号关注量增长约11倍、发布信息量增长约10倍。管理制度建设突出“严密规范”，先后出台《采购及办公（教学）用品管理办法（修订）》《公务用车管理使用办法》《安全生产工作制度》等系列制度，建立完善校（院）委会议事规则、意识形态、物资采购、印章管理、安全生产等各类规章制度19个，形成严密规范的制度体系并严格执行，全面实现各项工作有章可循、有据可依。干部队伍建设突出“严管厚爱”，经常“警钟长鸣”，时常“咬耳扯袖”，全覆盖“谈心谈话”，使“慵懒散浮拖”没有生存土壤，“从严从实”蔚然成风，《遂宁党校坚持“从严治校” 加快推进“对标跨越”》被《四川党校报》刊载。三是从严治教。对教师全面加强政治纪律和政治规矩教育，引导教师潜心治学、虔诚问道、悉心育人。修订《教师外出授课管理规定》，明确外出授课“3+1”必要条件（教师必须“个人政治素质过关”“完成上年度教学科研任务”“完成科室工作任务”，专题必须“通过校内试讲且在主体班讲授过”），严格规范教师外出授课行为。定期梳理更新外聘师资库，强化外聘教师政治审查，提高外聘教师队伍整体素质。全面规范委托培训合作协议，对不合格、质量差的严格调整，对继续合作的逐一签订《意识形态承诺书》《安全责任承诺书》并加强管理。四是从严治学。出台《主体班学员管理规程》《主体班学员量化考核管理办法（试行）》《主体班学员临时党支部（班委会）工作制度（试行）》等系列制度文件，对学员严格校纪校规，严肃培训纪律，敢抓敢管、严抓严管，让学员一进市委党校就感受到学习之风、朴素之风、清朗之风，努力把党校建设成为不正之风的“净化器”、党性锻炼的“大熔炉”、全面从严治党的“风向标”。</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b w:val="0"/>
          <w:bCs w:val="0"/>
          <w:snapToGrid w:val="0"/>
          <w:kern w:val="0"/>
          <w:sz w:val="32"/>
          <w:szCs w:val="32"/>
          <w:shd w:val="clear" w:color="auto" w:fill="FFFFFF"/>
          <w:lang w:val="en-US" w:eastAsia="zh-CN"/>
        </w:rPr>
      </w:pPr>
      <w:r>
        <w:rPr>
          <w:rFonts w:hint="eastAsia" w:ascii="Times New Roman" w:hAnsi="Times New Roman" w:eastAsia="仿宋_GB2312" w:cs="Times New Roman"/>
          <w:b/>
          <w:bCs/>
          <w:snapToGrid w:val="0"/>
          <w:kern w:val="0"/>
          <w:sz w:val="32"/>
          <w:szCs w:val="32"/>
          <w:shd w:val="clear" w:color="auto" w:fill="FFFFFF"/>
          <w:lang w:val="en-US" w:eastAsia="zh-CN"/>
        </w:rPr>
        <w:t>4.</w:t>
      </w:r>
      <w:r>
        <w:rPr>
          <w:rFonts w:hint="default" w:ascii="Times New Roman" w:hAnsi="Times New Roman" w:eastAsia="仿宋_GB2312" w:cs="Times New Roman"/>
          <w:b/>
          <w:bCs/>
          <w:snapToGrid w:val="0"/>
          <w:kern w:val="0"/>
          <w:sz w:val="32"/>
          <w:szCs w:val="32"/>
          <w:shd w:val="clear" w:color="auto" w:fill="FFFFFF"/>
          <w:lang w:val="en-US" w:eastAsia="zh-CN"/>
        </w:rPr>
        <w:t>突出提质晋位，在对标跨越中质量立校展现新作为</w:t>
      </w:r>
      <w:r>
        <w:rPr>
          <w:rFonts w:hint="default" w:ascii="Times New Roman" w:hAnsi="Times New Roman" w:eastAsia="楷体_GB2312" w:cs="Times New Roman"/>
          <w:b w:val="0"/>
          <w:bCs w:val="0"/>
          <w:snapToGrid w:val="0"/>
          <w:kern w:val="0"/>
          <w:sz w:val="32"/>
          <w:szCs w:val="32"/>
          <w:shd w:val="clear" w:color="auto" w:fill="FFFFFF"/>
          <w:lang w:val="en-US" w:eastAsia="zh-CN"/>
        </w:rPr>
        <w:t>。</w:t>
      </w:r>
      <w:r>
        <w:rPr>
          <w:rFonts w:hint="default" w:ascii="Times New Roman" w:hAnsi="Times New Roman" w:eastAsia="仿宋_GB2312" w:cs="Times New Roman"/>
          <w:b w:val="0"/>
          <w:bCs w:val="0"/>
          <w:snapToGrid w:val="0"/>
          <w:kern w:val="0"/>
          <w:sz w:val="32"/>
          <w:szCs w:val="32"/>
          <w:shd w:val="clear" w:color="auto" w:fill="FFFFFF"/>
          <w:lang w:val="en-US" w:eastAsia="zh-CN"/>
        </w:rPr>
        <w:t>一是锚定“一流目标”。2023年5月以来，优化调整对标对象、对标目标，省内对标达州市委党校、省外对标北海市委党校，按照“可量化的指标每年增幅不小于10%，不可量化的指标进入全省第一梯队”原则，科学制定校（院）三年跨越目标和务实举措，切实做到顺排工序、倒排工期、责任到人，全面营造“失责必追责”“缺位就无位”“无为就无位”的“对标跨越”行动氛围。二是整改“两类问题”。2023年5月以来，新班子多次召开专题会研究部署市委巡察反馈问题整改工作，每月定期跟踪督促整改进度情况，以“清单制+责任制+销号制”纵深推进整改落实，除需长期坚持整改的问题外，已全面完成整改任务。全力抓好全省市县级党校办学质量终评反馈意见整改，对标达州、巴中等多地党校取经补短，研究制定我市《深化县级党校分类建设计划实施方案》，对船山、安居两所县级党校实行市区一体办学，动态调整蓬溪、大英两所县级党校为市县联动办学，支持射洪市委党校打造区域中心党校，纵深推进市县级党校分类建设。三是实施“六大行动”。始终把质量立校作为办学治校的生命工程，不断深化教学教务改革、课程扩面提质、教研能力大学习大讨论大提升、基层宣讲“六进”、“人才兴校”、“赛场选马”6大行动。2023年5月以来，校（院）先后面向全市开展党员干部教育培训优质课程征集活动，创新举办全市党校系统首届微党课视频大赛，聚全校之力新开发《习近平法治思想》等系列专题课程，逐步建立起“1+12”习近平新时代中国特色社会主义思想课程体系，其中《沿着总书记早年来川考察沼气建设足迹 奏响乡村振兴和绿色发展的“遂宁凯歌”》入选全省干部教育“好课程”。全年组织试讲17场，开展说课（集体备课）15次、开发新专题14个，集体备课氛围逐渐浓厚，师资队伍教研能力稳步提升。大力开展基层“六进”宣讲，选派17名骨干力量参加到13个市委宣讲分队开展习近平总书记来川视察重要指示精神、省委十二届三次全会、市委八届七次全会精神等专题宣讲132场次、受众11200人次，有力推动习近平总书记重要指示和省委市委决策部署在遂宁落地生根、开花结果。大力实施“人才兴校”战略，通过公开遴选、“遂州英才”招揽等方式遴选参公人员1名，新录用事业专技人员1名，正计划引进</w:t>
      </w:r>
      <w:r>
        <w:rPr>
          <w:rFonts w:hint="default" w:ascii="Times New Roman" w:hAnsi="Times New Roman" w:eastAsia="仿宋_GB2312" w:cs="Times New Roman"/>
          <w:b w:val="0"/>
          <w:bCs w:val="0"/>
          <w:snapToGrid w:val="0"/>
          <w:kern w:val="0"/>
          <w:sz w:val="32"/>
          <w:szCs w:val="32"/>
          <w:shd w:val="clear" w:color="auto" w:fill="FFFFFF"/>
          <w:lang w:eastAsia="zh-CN"/>
        </w:rPr>
        <w:t>硕士研究生</w:t>
      </w:r>
      <w:r>
        <w:rPr>
          <w:rFonts w:hint="default" w:ascii="Times New Roman" w:hAnsi="Times New Roman" w:eastAsia="仿宋_GB2312" w:cs="Times New Roman"/>
          <w:b w:val="0"/>
          <w:bCs w:val="0"/>
          <w:snapToGrid w:val="0"/>
          <w:kern w:val="0"/>
          <w:sz w:val="32"/>
          <w:szCs w:val="32"/>
          <w:shd w:val="clear" w:color="auto" w:fill="FFFFFF"/>
          <w:lang w:val="en-US" w:eastAsia="zh-CN"/>
        </w:rPr>
        <w:t>4名。加大人才培养锻炼，选派1名同志到市委组织部参与全市主题教育工作，上派2名同志到省直单位学习锻炼，选派2名中青年骨干参与乡村振兴驻村帮扶，先后组织全市党校系统52名同志赴北海市委党校开展师资提能培训，组织全市党校系统48名同志参与绵阳、遂宁、内江党校师资专业能力提升联合培训，选派骨干教师到中央党校、省委党校、省社会主义学院调训21人次。坚持严管厚爱，进一步优化科室设置和人员配备，全年开展三级调研员职级晋升1人次、科级领导职务任免及任职试用期转正10人次，组织完成全市党校系统教师初称确认1名、中级职称评审（确认）9名、高级职称推荐评审1名，完成事业人员聘岗7人次，一大批优秀年轻干部在“赛场选马”中脱颖而出，快速成长为校（院）科室负责人。</w:t>
      </w:r>
    </w:p>
    <w:p>
      <w:pPr>
        <w:pStyle w:val="6"/>
        <w:pageBreakBefore w:val="0"/>
        <w:widowControl w:val="0"/>
        <w:kinsoku/>
        <w:wordWrap/>
        <w:overflowPunct/>
        <w:topLinePunct w:val="0"/>
        <w:autoSpaceDE/>
        <w:autoSpaceDN/>
        <w:bidi w:val="0"/>
        <w:adjustRightInd/>
        <w:snapToGrid/>
        <w:spacing w:before="0" w:after="0" w:line="576" w:lineRule="exact"/>
        <w:ind w:firstLine="632" w:firstLineChars="200"/>
        <w:textAlignment w:val="auto"/>
        <w:rPr>
          <w:rStyle w:val="31"/>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31"/>
          <w:rFonts w:hint="eastAsia" w:ascii="黑体" w:hAnsi="黑体" w:eastAsia="黑体"/>
          <w:b w:val="0"/>
          <w:bCs w:val="0"/>
          <w:color w:val="auto"/>
          <w:highlight w:val="none"/>
        </w:rPr>
        <w:t>构设置</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b w:val="0"/>
          <w:bCs w:val="0"/>
          <w:snapToGrid w:val="0"/>
          <w:kern w:val="0"/>
          <w:sz w:val="32"/>
          <w:szCs w:val="32"/>
          <w:shd w:val="clear" w:color="auto" w:fill="FFFFFF"/>
          <w:lang w:val="en-US" w:eastAsia="zh-CN"/>
        </w:rPr>
      </w:pPr>
      <w:bookmarkStart w:id="22" w:name="_Toc15396602"/>
      <w:bookmarkStart w:id="23" w:name="_Toc15377204"/>
      <w:r>
        <w:rPr>
          <w:rFonts w:hint="eastAsia" w:ascii="仿宋_GB2312" w:hAnsi="仿宋_GB2312" w:eastAsia="仿宋_GB2312" w:cs="仿宋_GB2312"/>
          <w:b w:val="0"/>
          <w:bCs w:val="0"/>
          <w:snapToGrid w:val="0"/>
          <w:kern w:val="0"/>
          <w:sz w:val="32"/>
          <w:szCs w:val="32"/>
          <w:shd w:val="clear" w:color="auto" w:fill="FFFFFF"/>
          <w:lang w:val="en-US" w:eastAsia="zh-CN"/>
        </w:rPr>
        <w:t>中共遂宁市委党校</w:t>
      </w:r>
      <w:r>
        <w:rPr>
          <w:rFonts w:hint="eastAsia" w:ascii="仿宋_GB2312" w:hAnsi="仿宋_GB2312" w:eastAsia="仿宋_GB2312" w:cs="仿宋_GB2312"/>
          <w:color w:val="auto"/>
          <w:sz w:val="32"/>
          <w:szCs w:val="32"/>
          <w:highlight w:val="none"/>
          <w:lang w:val="en-US" w:eastAsia="zh-CN"/>
        </w:rPr>
        <w:t>（遂宁行政学院）</w:t>
      </w:r>
      <w:r>
        <w:rPr>
          <w:rFonts w:hint="eastAsia" w:ascii="仿宋_GB2312" w:hAnsi="仿宋_GB2312" w:eastAsia="仿宋_GB2312" w:cs="仿宋_GB2312"/>
          <w:b w:val="0"/>
          <w:bCs w:val="0"/>
          <w:snapToGrid w:val="0"/>
          <w:kern w:val="0"/>
          <w:sz w:val="32"/>
          <w:szCs w:val="32"/>
          <w:shd w:val="clear" w:color="auto" w:fill="FFFFFF"/>
          <w:lang w:val="en-US" w:eastAsia="zh-CN"/>
        </w:rPr>
        <w:t>下属二级单位0个，其中行政单位0个，参照公务员法管理的事业单位0个，其他事业单位0个。中共遂宁市委党校（遂宁行政学院）内设科室12个,包含办公室、教务科、教研一室、 教研二室、遂宁市绿色发展研究中心（教研三室）、财务科、科研科、组织人事科、信息技术中心（图书馆）、研究生办公室（继续教育科）、培训科、县区联络指导科。纳入</w:t>
      </w:r>
      <w:r>
        <w:rPr>
          <w:rFonts w:hint="eastAsia" w:ascii="仿宋_GB2312" w:hAnsi="仿宋_GB2312" w:eastAsia="仿宋_GB2312" w:cs="仿宋_GB2312"/>
          <w:color w:val="auto"/>
          <w:sz w:val="32"/>
          <w:szCs w:val="32"/>
          <w:highlight w:val="none"/>
          <w:lang w:val="en-US" w:eastAsia="zh-CN"/>
        </w:rPr>
        <w:t>中共遂宁市委党校（遂宁行政学院）</w:t>
      </w:r>
      <w:r>
        <w:rPr>
          <w:rFonts w:hint="eastAsia" w:ascii="仿宋_GB2312" w:hAnsi="仿宋_GB2312" w:eastAsia="仿宋_GB2312" w:cs="仿宋_GB2312"/>
          <w:b w:val="0"/>
          <w:bCs w:val="0"/>
          <w:snapToGrid w:val="0"/>
          <w:kern w:val="0"/>
          <w:sz w:val="32"/>
          <w:szCs w:val="32"/>
          <w:shd w:val="clear" w:color="auto" w:fill="FFFFFF"/>
          <w:lang w:val="en-US" w:eastAsia="zh-CN"/>
        </w:rPr>
        <w:t>2023年度部门决算编制范围的二级预算单位0个。</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44"/>
          <w:szCs w:val="44"/>
          <w:highlight w:val="none"/>
          <w:lang w:val="en-US" w:eastAsia="zh-CN"/>
        </w:rPr>
      </w:pPr>
    </w:p>
    <w:p>
      <w:pPr>
        <w:pStyle w:val="2"/>
        <w:rPr>
          <w:rFonts w:hint="eastAsia" w:ascii="黑体" w:hAnsi="黑体" w:eastAsia="黑体" w:cs="黑体"/>
          <w:color w:val="auto"/>
          <w:sz w:val="44"/>
          <w:szCs w:val="44"/>
          <w:highlight w:val="none"/>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第二部分 2023年度部门决算情况说明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color w:val="auto"/>
          <w:sz w:val="32"/>
          <w:szCs w:val="32"/>
          <w:highlight w:val="none"/>
          <w:lang w:val="en-US" w:eastAsia="zh-CN"/>
        </w:rPr>
      </w:pPr>
      <w:bookmarkStart w:id="24" w:name="_Toc15377205"/>
      <w:bookmarkStart w:id="25" w:name="_Toc15396603"/>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2023年度收、支总计5300.03万元。与2022年相比，收、支总计各增加141.31万元，增长2.74%。主要变动原因是人员经费和培训</w:t>
      </w:r>
      <w:r>
        <w:rPr>
          <w:rFonts w:hint="default" w:ascii="仿宋_GB2312" w:hAnsi="仿宋_GB2312" w:eastAsia="仿宋_GB2312" w:cs="仿宋_GB2312"/>
          <w:color w:val="auto"/>
          <w:sz w:val="32"/>
          <w:szCs w:val="32"/>
          <w:highlight w:val="none"/>
          <w:lang w:eastAsia="zh-CN"/>
        </w:rPr>
        <w:t>班</w:t>
      </w:r>
      <w:r>
        <w:rPr>
          <w:rFonts w:hint="eastAsia" w:ascii="仿宋_GB2312" w:hAnsi="仿宋_GB2312" w:eastAsia="仿宋_GB2312" w:cs="仿宋_GB2312"/>
          <w:color w:val="auto"/>
          <w:sz w:val="32"/>
          <w:szCs w:val="32"/>
          <w:highlight w:val="none"/>
          <w:lang w:val="en-US" w:eastAsia="zh-CN"/>
        </w:rPr>
        <w:t>数量都有增加。</w:t>
      </w:r>
    </w:p>
    <w:p>
      <w:pPr>
        <w:pStyle w:val="8"/>
        <w:rPr>
          <w:rFonts w:hint="eastAsia"/>
          <w:lang w:val="en-US" w:eastAsia="zh-CN"/>
        </w:rPr>
      </w:pPr>
      <w:r>
        <w:rPr>
          <w:rFonts w:hint="eastAsia"/>
          <w:lang w:val="en-US" w:eastAsia="zh-CN"/>
        </w:rPr>
        <w:drawing>
          <wp:inline distT="0" distB="0" distL="114300" distR="114300">
            <wp:extent cx="5289550" cy="4457065"/>
            <wp:effectExtent l="5080" t="4445" r="2032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（图一）</w:t>
      </w:r>
    </w:p>
    <w:p>
      <w:pPr>
        <w:pStyle w:val="29"/>
        <w:keepNext w:val="0"/>
        <w:keepLines w:val="0"/>
        <w:pageBreakBefore w:val="0"/>
        <w:widowControl w:val="0"/>
        <w:numPr>
          <w:ilvl w:val="0"/>
          <w:numId w:val="0"/>
        </w:numPr>
        <w:kinsoku/>
        <w:wordWrap/>
        <w:overflowPunct/>
        <w:topLinePunct w:val="0"/>
        <w:autoSpaceDE/>
        <w:autoSpaceDN/>
        <w:bidi w:val="0"/>
        <w:spacing w:line="576" w:lineRule="exact"/>
        <w:ind w:left="640" w:leftChars="0"/>
        <w:textAlignment w:val="auto"/>
        <w:outlineLvl w:val="1"/>
        <w:rPr>
          <w:rFonts w:hint="eastAsia" w:ascii="黑体" w:hAnsi="黑体" w:eastAsia="黑体" w:cs="黑体"/>
          <w:color w:val="auto"/>
          <w:kern w:val="2"/>
          <w:sz w:val="32"/>
          <w:szCs w:val="32"/>
          <w:highlight w:val="none"/>
          <w:lang w:val="en-US" w:eastAsia="zh-CN" w:bidi="ar-SA"/>
        </w:rPr>
      </w:pPr>
      <w:bookmarkStart w:id="26" w:name="_Toc15377206"/>
      <w:bookmarkStart w:id="27" w:name="_Toc15396604"/>
      <w:r>
        <w:rPr>
          <w:rFonts w:hint="eastAsia" w:ascii="黑体" w:hAnsi="黑体" w:eastAsia="黑体" w:cs="黑体"/>
          <w:color w:val="auto"/>
          <w:kern w:val="2"/>
          <w:sz w:val="32"/>
          <w:szCs w:val="32"/>
          <w:highlight w:val="none"/>
          <w:lang w:val="en-US" w:eastAsia="zh-CN" w:bidi="ar-SA"/>
        </w:rPr>
        <w:t>二、收入决算情况说明</w:t>
      </w:r>
      <w:bookmarkEnd w:id="26"/>
      <w:bookmarkEnd w:id="27"/>
    </w:p>
    <w:p>
      <w:pPr>
        <w:pStyle w:val="8"/>
        <w:keepNext w:val="0"/>
        <w:keepLines w:val="0"/>
        <w:pageBreakBefore w:val="0"/>
        <w:widowControl w:val="0"/>
        <w:kinsoku/>
        <w:wordWrap/>
        <w:overflowPunct/>
        <w:topLinePunct w:val="0"/>
        <w:autoSpaceDE/>
        <w:autoSpaceDN/>
        <w:bidi w:val="0"/>
        <w:adjustRightInd w:val="0"/>
        <w:snapToGrid w:val="0"/>
        <w:spacing w:before="93" w:line="576" w:lineRule="exact"/>
        <w:ind w:firstLine="664" w:firstLineChars="21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年本年收入合计</w:t>
      </w:r>
      <w:r>
        <w:rPr>
          <w:rFonts w:hint="eastAsia" w:hAnsi="仿宋_GB2312" w:cs="仿宋_GB2312"/>
          <w:color w:val="auto"/>
          <w:sz w:val="32"/>
          <w:szCs w:val="32"/>
          <w:highlight w:val="none"/>
          <w:lang w:val="en-US" w:eastAsia="zh-CN"/>
        </w:rPr>
        <w:t>5296.33</w:t>
      </w:r>
      <w:r>
        <w:rPr>
          <w:rFonts w:hint="eastAsia" w:ascii="仿宋_GB2312" w:hAnsi="仿宋_GB2312" w:eastAsia="仿宋_GB2312" w:cs="仿宋_GB2312"/>
          <w:color w:val="auto"/>
          <w:sz w:val="32"/>
          <w:szCs w:val="32"/>
          <w:highlight w:val="none"/>
          <w:lang w:val="en-US" w:eastAsia="zh-CN"/>
        </w:rPr>
        <w:t>万元，其中：一般公共预算财政拨款收入</w:t>
      </w:r>
      <w:r>
        <w:rPr>
          <w:rFonts w:hint="eastAsia" w:hAnsi="仿宋_GB2312" w:cs="仿宋_GB2312"/>
          <w:color w:val="auto"/>
          <w:sz w:val="32"/>
          <w:szCs w:val="32"/>
          <w:highlight w:val="none"/>
          <w:lang w:val="en-US" w:eastAsia="zh-CN"/>
        </w:rPr>
        <w:t>4435.95</w:t>
      </w:r>
      <w:r>
        <w:rPr>
          <w:rFonts w:hint="eastAsia" w:ascii="仿宋_GB2312" w:hAnsi="仿宋_GB2312" w:eastAsia="仿宋_GB2312" w:cs="仿宋_GB2312"/>
          <w:color w:val="auto"/>
          <w:sz w:val="32"/>
          <w:szCs w:val="32"/>
          <w:highlight w:val="none"/>
          <w:lang w:val="en-US" w:eastAsia="zh-CN"/>
        </w:rPr>
        <w:t>万元，占</w:t>
      </w:r>
      <w:r>
        <w:rPr>
          <w:rFonts w:hint="eastAsia" w:hAnsi="仿宋_GB2312" w:cs="仿宋_GB2312"/>
          <w:color w:val="auto"/>
          <w:sz w:val="32"/>
          <w:szCs w:val="32"/>
          <w:highlight w:val="none"/>
          <w:lang w:val="en-US" w:eastAsia="zh-CN"/>
        </w:rPr>
        <w:t>83.75</w:t>
      </w:r>
      <w:r>
        <w:rPr>
          <w:rFonts w:hint="eastAsia" w:ascii="仿宋_GB2312" w:hAnsi="仿宋_GB2312" w:eastAsia="仿宋_GB2312" w:cs="仿宋_GB2312"/>
          <w:color w:val="auto"/>
          <w:sz w:val="32"/>
          <w:szCs w:val="32"/>
          <w:highlight w:val="none"/>
          <w:lang w:val="en-US" w:eastAsia="zh-CN"/>
        </w:rPr>
        <w:t>%；事业收入</w:t>
      </w:r>
      <w:r>
        <w:rPr>
          <w:rFonts w:hint="eastAsia" w:hAnsi="仿宋_GB2312" w:cs="仿宋_GB2312"/>
          <w:color w:val="auto"/>
          <w:sz w:val="32"/>
          <w:szCs w:val="32"/>
          <w:highlight w:val="none"/>
          <w:lang w:val="en-US" w:eastAsia="zh-CN"/>
        </w:rPr>
        <w:t>856.89</w:t>
      </w:r>
      <w:r>
        <w:rPr>
          <w:rFonts w:hint="eastAsia" w:ascii="仿宋_GB2312" w:hAnsi="仿宋_GB2312" w:eastAsia="仿宋_GB2312" w:cs="仿宋_GB2312"/>
          <w:color w:val="auto"/>
          <w:sz w:val="32"/>
          <w:szCs w:val="32"/>
          <w:highlight w:val="none"/>
          <w:lang w:val="en-US" w:eastAsia="zh-CN"/>
        </w:rPr>
        <w:t>万元，占</w:t>
      </w:r>
      <w:r>
        <w:rPr>
          <w:rFonts w:hint="eastAsia" w:hAnsi="仿宋_GB2312" w:cs="仿宋_GB2312"/>
          <w:color w:val="auto"/>
          <w:sz w:val="32"/>
          <w:szCs w:val="32"/>
          <w:highlight w:val="none"/>
          <w:lang w:val="en-US" w:eastAsia="zh-CN"/>
        </w:rPr>
        <w:t>16.18</w:t>
      </w:r>
      <w:r>
        <w:rPr>
          <w:rFonts w:hint="eastAsia" w:ascii="仿宋_GB2312" w:hAnsi="仿宋_GB2312" w:eastAsia="仿宋_GB2312" w:cs="仿宋_GB2312"/>
          <w:color w:val="auto"/>
          <w:sz w:val="32"/>
          <w:szCs w:val="32"/>
          <w:highlight w:val="none"/>
          <w:lang w:val="en-US" w:eastAsia="zh-CN"/>
        </w:rPr>
        <w:t>%；其他收入</w:t>
      </w:r>
      <w:r>
        <w:rPr>
          <w:rFonts w:hint="eastAsia" w:hAnsi="仿宋_GB2312" w:cs="仿宋_GB2312"/>
          <w:color w:val="auto"/>
          <w:sz w:val="32"/>
          <w:szCs w:val="32"/>
          <w:highlight w:val="none"/>
          <w:lang w:val="en-US" w:eastAsia="zh-CN"/>
        </w:rPr>
        <w:t>3.50</w:t>
      </w:r>
      <w:r>
        <w:rPr>
          <w:rFonts w:hint="eastAsia" w:ascii="仿宋_GB2312" w:hAnsi="仿宋_GB2312" w:eastAsia="仿宋_GB2312" w:cs="仿宋_GB2312"/>
          <w:color w:val="auto"/>
          <w:sz w:val="32"/>
          <w:szCs w:val="32"/>
          <w:highlight w:val="none"/>
          <w:lang w:val="en-US" w:eastAsia="zh-CN"/>
        </w:rPr>
        <w:t>万元，占</w:t>
      </w:r>
      <w:r>
        <w:rPr>
          <w:rFonts w:hint="eastAsia" w:hAnsi="仿宋_GB2312" w:cs="仿宋_GB2312"/>
          <w:color w:val="auto"/>
          <w:sz w:val="32"/>
          <w:szCs w:val="32"/>
          <w:highlight w:val="none"/>
          <w:lang w:val="en-US" w:eastAsia="zh-CN"/>
        </w:rPr>
        <w:t>0.07</w:t>
      </w:r>
      <w:r>
        <w:rPr>
          <w:rFonts w:hint="eastAsia" w:ascii="仿宋_GB2312" w:hAnsi="仿宋_GB2312" w:eastAsia="仿宋_GB2312" w:cs="仿宋_GB2312"/>
          <w:color w:val="auto"/>
          <w:sz w:val="32"/>
          <w:szCs w:val="32"/>
          <w:highlight w:val="none"/>
          <w:lang w:val="en-US" w:eastAsia="zh-CN"/>
        </w:rPr>
        <w:t>%。</w:t>
      </w:r>
    </w:p>
    <w:p>
      <w:pPr>
        <w:pStyle w:val="8"/>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4742180"/>
            <wp:effectExtent l="4445" t="4445" r="20955" b="158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（图二）</w:t>
      </w:r>
    </w:p>
    <w:p>
      <w:pPr>
        <w:pStyle w:val="29"/>
        <w:numPr>
          <w:ilvl w:val="0"/>
          <w:numId w:val="0"/>
        </w:numPr>
        <w:spacing w:line="600" w:lineRule="exact"/>
        <w:ind w:left="640" w:leftChars="0"/>
        <w:outlineLvl w:val="1"/>
        <w:rPr>
          <w:rStyle w:val="31"/>
          <w:rFonts w:ascii="黑体" w:hAnsi="黑体" w:eastAsia="黑体"/>
          <w:b w:val="0"/>
          <w:color w:val="auto"/>
          <w:highlight w:val="none"/>
        </w:rPr>
      </w:pPr>
      <w:bookmarkStart w:id="28" w:name="_Toc15396605"/>
      <w:bookmarkStart w:id="29" w:name="_Toc1537720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1"/>
          <w:rFonts w:hint="eastAsia" w:ascii="黑体" w:hAnsi="黑体" w:eastAsia="黑体"/>
          <w:b w:val="0"/>
          <w:color w:val="auto"/>
          <w:highlight w:val="none"/>
        </w:rPr>
        <w:t>出决算情况说明</w:t>
      </w:r>
      <w:bookmarkEnd w:id="28"/>
      <w:bookmarkEnd w:id="29"/>
    </w:p>
    <w:p>
      <w:pPr>
        <w:pStyle w:val="8"/>
        <w:adjustRightInd w:val="0"/>
        <w:snapToGrid w:val="0"/>
        <w:spacing w:before="93" w:line="600" w:lineRule="exact"/>
        <w:ind w:firstLine="664" w:firstLineChars="210"/>
        <w:rPr>
          <w:rFonts w:hint="eastAsia" w:ascii="仿宋_GB2312" w:hAnsi="仿宋_GB2312" w:eastAsia="仿宋_GB2312" w:cs="仿宋_GB2312"/>
          <w:color w:val="auto"/>
          <w:sz w:val="32"/>
          <w:szCs w:val="32"/>
          <w:highlight w:val="none"/>
          <w:shd w:val="pct10" w:color="auto" w:fill="FFFFFF"/>
        </w:rPr>
      </w:pPr>
      <w:r>
        <w:rPr>
          <w:rFonts w:hint="eastAsia" w:ascii="仿宋_GB2312" w:hAnsi="仿宋_GB2312" w:eastAsia="仿宋_GB2312" w:cs="仿宋_GB2312"/>
          <w:color w:val="auto"/>
          <w:sz w:val="32"/>
          <w:szCs w:val="32"/>
          <w:highlight w:val="none"/>
          <w:lang w:val="en-US" w:eastAsia="zh-CN"/>
        </w:rPr>
        <w:t>2023年本年支出合计5294.60万元，其中：基本支出1871.78万元，占35.35%；项目支出3422.82万元，占64.65%。</w:t>
      </w:r>
    </w:p>
    <w:p>
      <w:pPr>
        <w:pStyle w:val="8"/>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inline distT="0" distB="0" distL="114300" distR="114300">
            <wp:extent cx="5194300" cy="5199380"/>
            <wp:effectExtent l="4445" t="4445" r="20955"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（图三）</w:t>
      </w:r>
    </w:p>
    <w:p>
      <w:pPr>
        <w:spacing w:line="600" w:lineRule="exact"/>
        <w:ind w:firstLine="632" w:firstLineChars="200"/>
        <w:outlineLvl w:val="1"/>
        <w:rPr>
          <w:rStyle w:val="31"/>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31"/>
          <w:rFonts w:hint="eastAsia" w:ascii="黑体" w:hAnsi="黑体" w:eastAsia="黑体"/>
          <w:b w:val="0"/>
          <w:color w:val="auto"/>
          <w:highlight w:val="none"/>
        </w:rPr>
        <w:t>政拨款收入支出决算总体情况说明</w:t>
      </w:r>
      <w:bookmarkEnd w:id="30"/>
      <w:bookmarkEnd w:id="31"/>
    </w:p>
    <w:p>
      <w:pPr>
        <w:spacing w:line="60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2023年财政拨款收、支总计4435.95万元。与2022年相比，财政拨款收、支总计各减少62.74万元，减少1.39%。</w:t>
      </w:r>
      <w:r>
        <w:rPr>
          <w:rFonts w:hint="eastAsia" w:ascii="仿宋_GB2312" w:hAnsi="仿宋_GB2312" w:eastAsia="仿宋_GB2312" w:cs="仿宋_GB2312"/>
          <w:color w:val="auto"/>
          <w:sz w:val="32"/>
          <w:szCs w:val="32"/>
          <w:highlight w:val="none"/>
          <w:lang w:eastAsia="zh-CN"/>
        </w:rPr>
        <w:t>主要变动原因</w:t>
      </w:r>
      <w:r>
        <w:rPr>
          <w:rFonts w:hint="eastAsia" w:ascii="仿宋_GB2312" w:hAnsi="仿宋_GB2312" w:eastAsia="仿宋_GB2312" w:cs="仿宋_GB2312"/>
          <w:color w:val="auto"/>
          <w:sz w:val="32"/>
          <w:szCs w:val="32"/>
          <w:highlight w:val="none"/>
          <w:lang w:val="en-US" w:eastAsia="zh-CN"/>
        </w:rPr>
        <w:t>是一是人员经费减少，2023年5名职工退休；二是厉行节约，减少行政运转中不必要支出。</w:t>
      </w:r>
    </w:p>
    <w:p>
      <w:pPr>
        <w:spacing w:line="600" w:lineRule="exact"/>
        <w:ind w:firstLine="632" w:firstLineChars="200"/>
        <w:rPr>
          <w:rFonts w:hint="eastAsia" w:ascii="仿宋_GB2312" w:hAnsi="仿宋_GB2312" w:eastAsia="仿宋_GB2312" w:cs="仿宋_GB2312"/>
          <w:color w:val="auto"/>
          <w:sz w:val="32"/>
          <w:szCs w:val="32"/>
          <w:highlight w:val="none"/>
        </w:rPr>
      </w:pPr>
    </w:p>
    <w:p>
      <w:pPr>
        <w:pStyle w:val="8"/>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517515" cy="4610100"/>
            <wp:effectExtent l="4445" t="4445" r="21590"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jc w:val="center"/>
        <w:rPr>
          <w:rFonts w:hint="eastAsia" w:ascii="黑体" w:hAnsi="黑体" w:eastAsia="黑体"/>
          <w:color w:val="auto"/>
          <w:sz w:val="32"/>
          <w:szCs w:val="32"/>
          <w:highlight w:val="none"/>
        </w:rPr>
      </w:pPr>
      <w:bookmarkStart w:id="32" w:name="_Toc15377209"/>
      <w:bookmarkStart w:id="33" w:name="_Toc15396607"/>
      <w:r>
        <w:rPr>
          <w:rFonts w:hint="eastAsia" w:ascii="仿宋_GB2312" w:eastAsia="仿宋_GB2312"/>
          <w:color w:val="auto"/>
          <w:sz w:val="32"/>
          <w:szCs w:val="32"/>
          <w:highlight w:val="none"/>
          <w:lang w:eastAsia="zh-CN"/>
        </w:rPr>
        <w:t>（图四）</w:t>
      </w:r>
    </w:p>
    <w:p>
      <w:pPr>
        <w:spacing w:line="600" w:lineRule="exact"/>
        <w:ind w:firstLine="632" w:firstLineChars="200"/>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五、一般公共预算财政拨款支出决算情况说明</w:t>
      </w:r>
      <w:bookmarkEnd w:id="32"/>
      <w:bookmarkEnd w:id="33"/>
    </w:p>
    <w:p>
      <w:pPr>
        <w:spacing w:line="600" w:lineRule="exact"/>
        <w:ind w:firstLine="640"/>
        <w:outlineLvl w:val="2"/>
        <w:rPr>
          <w:rFonts w:hint="eastAsia" w:ascii="方正楷体_GBK" w:hAnsi="方正楷体_GBK" w:eastAsia="方正楷体_GBK" w:cs="方正楷体_GBK"/>
          <w:b/>
          <w:color w:val="auto"/>
          <w:sz w:val="32"/>
          <w:szCs w:val="32"/>
          <w:highlight w:val="none"/>
        </w:rPr>
      </w:pPr>
      <w:bookmarkStart w:id="34" w:name="_Toc15377210"/>
      <w:r>
        <w:rPr>
          <w:rFonts w:hint="eastAsia" w:ascii="方正楷体_GBK" w:hAnsi="方正楷体_GBK" w:eastAsia="方正楷体_GBK" w:cs="方正楷体_GBK"/>
          <w:b/>
          <w:color w:val="auto"/>
          <w:sz w:val="32"/>
          <w:szCs w:val="32"/>
          <w:highlight w:val="none"/>
        </w:rPr>
        <w:t>（一）一般公共预算财政拨款支出决算总体情况</w:t>
      </w:r>
      <w:bookmarkEnd w:id="34"/>
    </w:p>
    <w:p>
      <w:pPr>
        <w:spacing w:line="60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4435.95</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83.78</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支出减少</w:t>
      </w:r>
      <w:r>
        <w:rPr>
          <w:rFonts w:hint="eastAsia" w:ascii="仿宋_GB2312" w:hAnsi="仿宋_GB2312" w:eastAsia="仿宋_GB2312" w:cs="仿宋_GB2312"/>
          <w:color w:val="auto"/>
          <w:sz w:val="32"/>
          <w:szCs w:val="32"/>
          <w:highlight w:val="none"/>
          <w:lang w:val="en-US" w:eastAsia="zh-CN"/>
        </w:rPr>
        <w:t>62.74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减少1.39%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主要变动原因</w:t>
      </w:r>
      <w:r>
        <w:rPr>
          <w:rFonts w:hint="eastAsia" w:ascii="仿宋_GB2312" w:hAnsi="仿宋_GB2312" w:eastAsia="仿宋_GB2312" w:cs="仿宋_GB2312"/>
          <w:color w:val="auto"/>
          <w:sz w:val="32"/>
          <w:szCs w:val="32"/>
          <w:highlight w:val="none"/>
          <w:lang w:val="en-US" w:eastAsia="zh-CN"/>
        </w:rPr>
        <w:t>是一是人员经费减少，2023年5名职工工退休；二是厉行节约，减少行政运转中不必要支出。</w:t>
      </w:r>
    </w:p>
    <w:p>
      <w:pPr>
        <w:pStyle w:val="8"/>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537200" cy="5313680"/>
            <wp:effectExtent l="4445" t="4445" r="20955" b="1587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600" w:lineRule="exact"/>
        <w:jc w:val="center"/>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t>（图五）</w:t>
      </w:r>
    </w:p>
    <w:p>
      <w:pPr>
        <w:spacing w:line="600" w:lineRule="exact"/>
        <w:ind w:firstLine="640"/>
        <w:outlineLvl w:val="2"/>
        <w:rPr>
          <w:rFonts w:hint="eastAsia" w:ascii="方正楷体_GBK" w:hAnsi="方正楷体_GBK" w:eastAsia="方正楷体_GBK" w:cs="方正楷体_GBK"/>
          <w:b/>
          <w:color w:val="auto"/>
          <w:sz w:val="32"/>
          <w:szCs w:val="32"/>
          <w:highlight w:val="none"/>
        </w:rPr>
      </w:pPr>
      <w:bookmarkStart w:id="35" w:name="_Toc15377211"/>
      <w:r>
        <w:rPr>
          <w:rFonts w:hint="eastAsia" w:ascii="方正楷体_GBK" w:hAnsi="方正楷体_GBK" w:eastAsia="方正楷体_GBK" w:cs="方正楷体_GBK"/>
          <w:b/>
          <w:color w:val="auto"/>
          <w:sz w:val="32"/>
          <w:szCs w:val="32"/>
          <w:highlight w:val="none"/>
        </w:rPr>
        <w:t>（二）一般公共预算财政拨款支出决算结构情况</w:t>
      </w:r>
      <w:bookmarkEnd w:id="35"/>
    </w:p>
    <w:p>
      <w:pPr>
        <w:spacing w:line="600" w:lineRule="exact"/>
        <w:ind w:firstLine="640"/>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4435.95</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教育支出（类）</w:t>
      </w:r>
      <w:r>
        <w:rPr>
          <w:rFonts w:hint="eastAsia" w:ascii="仿宋_GB2312" w:hAnsi="仿宋_GB2312" w:eastAsia="仿宋_GB2312" w:cs="仿宋_GB2312"/>
          <w:b w:val="0"/>
          <w:bCs/>
          <w:color w:val="auto"/>
          <w:sz w:val="32"/>
          <w:szCs w:val="32"/>
          <w:highlight w:val="none"/>
          <w:lang w:val="en-US" w:eastAsia="zh-CN"/>
        </w:rPr>
        <w:t>4143.62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93.41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社会保障和就业（类）</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171.68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3.87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b/>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42.92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0.97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住房保障支出（类）</w:t>
      </w:r>
      <w:r>
        <w:rPr>
          <w:rFonts w:hint="eastAsia" w:ascii="仿宋_GB2312" w:hAnsi="仿宋_GB2312" w:eastAsia="仿宋_GB2312" w:cs="仿宋_GB2312"/>
          <w:color w:val="auto"/>
          <w:sz w:val="32"/>
          <w:szCs w:val="32"/>
          <w:highlight w:val="none"/>
          <w:lang w:val="en-US" w:eastAsia="zh-CN"/>
        </w:rPr>
        <w:t>77.73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1.75</w:t>
      </w:r>
      <w:r>
        <w:rPr>
          <w:rFonts w:hint="eastAsia" w:ascii="仿宋_GB2312" w:hAnsi="仿宋_GB2312" w:eastAsia="仿宋_GB2312" w:cs="仿宋_GB2312"/>
          <w:color w:val="auto"/>
          <w:sz w:val="32"/>
          <w:szCs w:val="32"/>
          <w:highlight w:val="none"/>
        </w:rPr>
        <w:t>%。</w:t>
      </w:r>
    </w:p>
    <w:p>
      <w:pPr>
        <w:pStyle w:val="8"/>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42672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600" w:lineRule="exact"/>
        <w:jc w:val="center"/>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t>（图六）</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方正楷体_GBK" w:hAnsi="方正楷体_GBK" w:eastAsia="方正楷体_GBK" w:cs="方正楷体_GBK"/>
          <w:b/>
          <w:color w:val="auto"/>
          <w:sz w:val="32"/>
          <w:szCs w:val="32"/>
          <w:highlight w:val="none"/>
        </w:rPr>
      </w:pPr>
      <w:bookmarkStart w:id="36" w:name="_Toc15377212"/>
      <w:r>
        <w:rPr>
          <w:rFonts w:hint="eastAsia" w:ascii="方正楷体_GBK" w:hAnsi="方正楷体_GBK" w:eastAsia="方正楷体_GBK" w:cs="方正楷体_GBK"/>
          <w:b/>
          <w:color w:val="auto"/>
          <w:sz w:val="32"/>
          <w:szCs w:val="32"/>
          <w:highlight w:val="none"/>
        </w:rPr>
        <w:t>（三）一般公共预算财政拨款支出决算具体情况</w:t>
      </w:r>
      <w:bookmarkEnd w:id="36"/>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outlineLvl w:val="2"/>
        <w:rPr>
          <w:rFonts w:hint="eastAsia" w:ascii="仿宋_GB2312" w:hAnsi="仿宋_GB2312" w:eastAsia="仿宋_GB2312" w:cs="仿宋_GB2312"/>
          <w:b/>
          <w:color w:val="auto"/>
          <w:sz w:val="32"/>
          <w:szCs w:val="32"/>
          <w:highlight w:val="none"/>
        </w:rPr>
      </w:pPr>
      <w:bookmarkStart w:id="37" w:name="_Toc15377444"/>
      <w:bookmarkStart w:id="38" w:name="_Toc15377213"/>
      <w:bookmarkStart w:id="39" w:name="_Toc15378460"/>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23</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4435.95</w:t>
      </w:r>
      <w:r>
        <w:rPr>
          <w:rFonts w:hint="eastAsia" w:ascii="仿宋_GB2312" w:hAnsi="仿宋_GB2312" w:eastAsia="仿宋_GB2312" w:cs="仿宋_GB2312"/>
          <w:b/>
          <w:color w:val="auto"/>
          <w:sz w:val="32"/>
          <w:szCs w:val="32"/>
          <w:highlight w:val="none"/>
          <w:lang w:eastAsia="zh-CN"/>
        </w:rPr>
        <w:t>万元</w:t>
      </w:r>
      <w:r>
        <w:rPr>
          <w:rFonts w:hint="eastAsia" w:ascii="仿宋_GB2312" w:hAnsi="仿宋_GB2312" w:eastAsia="仿宋_GB2312" w:cs="仿宋_GB2312"/>
          <w:color w:val="auto"/>
          <w:sz w:val="32"/>
          <w:szCs w:val="32"/>
          <w:highlight w:val="none"/>
        </w:rPr>
        <w:t>，</w:t>
      </w:r>
      <w:r>
        <w:rPr>
          <w:rStyle w:val="18"/>
          <w:rFonts w:hint="eastAsia" w:ascii="仿宋_GB2312" w:hAnsi="仿宋_GB2312" w:eastAsia="仿宋_GB2312" w:cs="仿宋_GB2312"/>
          <w:bCs/>
          <w:color w:val="auto"/>
          <w:sz w:val="32"/>
          <w:szCs w:val="32"/>
          <w:highlight w:val="none"/>
        </w:rPr>
        <w:t>完成预算</w:t>
      </w:r>
      <w:r>
        <w:rPr>
          <w:rStyle w:val="18"/>
          <w:rFonts w:hint="eastAsia" w:ascii="仿宋_GB2312" w:hAnsi="仿宋_GB2312" w:eastAsia="仿宋_GB2312" w:cs="仿宋_GB2312"/>
          <w:bCs/>
          <w:color w:val="auto"/>
          <w:sz w:val="32"/>
          <w:szCs w:val="32"/>
          <w:highlight w:val="none"/>
          <w:lang w:val="en-US" w:eastAsia="zh-CN"/>
        </w:rPr>
        <w:t>100</w:t>
      </w:r>
      <w:r>
        <w:rPr>
          <w:rStyle w:val="18"/>
          <w:rFonts w:hint="eastAsia" w:ascii="仿宋_GB2312" w:hAnsi="仿宋_GB2312" w:eastAsia="仿宋_GB2312" w:cs="仿宋_GB2312"/>
          <w:bCs/>
          <w:color w:val="auto"/>
          <w:sz w:val="32"/>
          <w:szCs w:val="32"/>
          <w:highlight w:val="none"/>
        </w:rPr>
        <w:t>%。其中：</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b/>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ascii="仿宋_GB2312" w:hAnsi="仿宋_GB2312" w:eastAsia="仿宋_GB2312" w:cs="仿宋_GB2312"/>
          <w:bCs/>
          <w:color w:val="auto"/>
          <w:sz w:val="32"/>
          <w:szCs w:val="32"/>
          <w:highlight w:val="none"/>
        </w:rPr>
        <w:t>.教育</w:t>
      </w:r>
      <w:r>
        <w:rPr>
          <w:rStyle w:val="18"/>
          <w:rFonts w:hint="eastAsia" w:ascii="仿宋_GB2312" w:hAnsi="仿宋_GB2312" w:eastAsia="仿宋_GB2312" w:cs="仿宋_GB2312"/>
          <w:bCs/>
          <w:color w:val="auto"/>
          <w:sz w:val="32"/>
          <w:szCs w:val="32"/>
          <w:highlight w:val="none"/>
          <w:lang w:eastAsia="zh-CN"/>
        </w:rPr>
        <w:t>支出</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eastAsia="zh-CN"/>
        </w:rPr>
        <w:t>进修及培训</w:t>
      </w:r>
      <w:r>
        <w:rPr>
          <w:rStyle w:val="18"/>
          <w:rFonts w:hint="eastAsia" w:ascii="仿宋_GB2312" w:hAnsi="仿宋_GB2312" w:eastAsia="仿宋_GB2312" w:cs="仿宋_GB2312"/>
          <w:bCs/>
          <w:color w:val="auto"/>
          <w:sz w:val="32"/>
          <w:szCs w:val="32"/>
          <w:highlight w:val="none"/>
        </w:rPr>
        <w:t>（款）</w:t>
      </w:r>
      <w:r>
        <w:rPr>
          <w:rStyle w:val="18"/>
          <w:rFonts w:hint="eastAsia" w:ascii="仿宋_GB2312" w:hAnsi="仿宋_GB2312" w:eastAsia="仿宋_GB2312" w:cs="仿宋_GB2312"/>
          <w:bCs/>
          <w:color w:val="auto"/>
          <w:sz w:val="32"/>
          <w:szCs w:val="32"/>
          <w:highlight w:val="none"/>
          <w:lang w:eastAsia="zh-CN"/>
        </w:rPr>
        <w:t>干部教育</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 xml:space="preserve"> 支出决算为</w:t>
      </w:r>
      <w:r>
        <w:rPr>
          <w:rStyle w:val="18"/>
          <w:rFonts w:hint="eastAsia" w:ascii="仿宋_GB2312" w:hAnsi="仿宋_GB2312" w:eastAsia="仿宋_GB2312" w:cs="仿宋_GB2312"/>
          <w:b w:val="0"/>
          <w:bCs/>
          <w:color w:val="auto"/>
          <w:sz w:val="32"/>
          <w:szCs w:val="32"/>
          <w:highlight w:val="none"/>
          <w:lang w:val="en-US" w:eastAsia="zh-CN"/>
        </w:rPr>
        <w:t>4143.62</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w:t>
      </w:r>
      <w:r>
        <w:rPr>
          <w:rStyle w:val="18"/>
          <w:rFonts w:hint="eastAsia" w:ascii="仿宋_GB2312" w:hAnsi="仿宋_GB2312" w:eastAsia="仿宋_GB2312" w:cs="仿宋_GB2312"/>
          <w:b w:val="0"/>
          <w:bCs/>
          <w:color w:val="auto"/>
          <w:sz w:val="32"/>
          <w:szCs w:val="32"/>
          <w:highlight w:val="none"/>
          <w:lang w:eastAsia="zh-CN"/>
        </w:rPr>
        <w:t>与</w:t>
      </w:r>
      <w:r>
        <w:rPr>
          <w:rStyle w:val="18"/>
          <w:rFonts w:hint="eastAsia" w:ascii="仿宋_GB2312" w:hAnsi="仿宋_GB2312" w:eastAsia="仿宋_GB2312" w:cs="仿宋_GB2312"/>
          <w:b w:val="0"/>
          <w:bCs/>
          <w:color w:val="auto"/>
          <w:sz w:val="32"/>
          <w:szCs w:val="32"/>
          <w:highlight w:val="none"/>
        </w:rPr>
        <w:t>预算数</w:t>
      </w:r>
      <w:r>
        <w:rPr>
          <w:rStyle w:val="18"/>
          <w:rFonts w:hint="eastAsia" w:ascii="仿宋_GB2312" w:hAnsi="仿宋_GB2312" w:eastAsia="仿宋_GB2312" w:cs="仿宋_GB2312"/>
          <w:b w:val="0"/>
          <w:bCs/>
          <w:color w:val="auto"/>
          <w:sz w:val="32"/>
          <w:szCs w:val="32"/>
          <w:highlight w:val="none"/>
          <w:lang w:eastAsia="zh-CN"/>
        </w:rPr>
        <w:t>一致</w:t>
      </w:r>
      <w:r>
        <w:rPr>
          <w:rStyle w:val="18"/>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2</w:t>
      </w:r>
      <w:r>
        <w:rPr>
          <w:rStyle w:val="18"/>
          <w:rFonts w:hint="eastAsia" w:ascii="仿宋_GB2312" w:hAnsi="仿宋_GB2312" w:eastAsia="仿宋_GB2312" w:cs="仿宋_GB2312"/>
          <w:bCs/>
          <w:color w:val="auto"/>
          <w:sz w:val="32"/>
          <w:szCs w:val="32"/>
          <w:highlight w:val="none"/>
        </w:rPr>
        <w:t>.社会保障和就业</w:t>
      </w:r>
      <w:r>
        <w:rPr>
          <w:rStyle w:val="18"/>
          <w:rFonts w:hint="eastAsia" w:ascii="仿宋_GB2312" w:hAnsi="仿宋_GB2312" w:eastAsia="仿宋_GB2312" w:cs="仿宋_GB2312"/>
          <w:bCs/>
          <w:color w:val="auto"/>
          <w:sz w:val="32"/>
          <w:szCs w:val="32"/>
          <w:highlight w:val="none"/>
          <w:lang w:eastAsia="zh-CN"/>
        </w:rPr>
        <w:t>支出</w:t>
      </w:r>
      <w:r>
        <w:rPr>
          <w:rStyle w:val="18"/>
          <w:rFonts w:hint="eastAsia" w:ascii="仿宋_GB2312" w:hAnsi="仿宋_GB2312" w:eastAsia="仿宋_GB2312" w:cs="仿宋_GB2312"/>
          <w:bCs/>
          <w:color w:val="auto"/>
          <w:sz w:val="32"/>
          <w:szCs w:val="32"/>
          <w:highlight w:val="none"/>
        </w:rPr>
        <w:t>（类）行政事业单位养老支出（款）  行政单位离退休（项）: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18.37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w:t>
      </w:r>
      <w:r>
        <w:rPr>
          <w:rStyle w:val="18"/>
          <w:rFonts w:hint="eastAsia" w:ascii="仿宋_GB2312" w:hAnsi="仿宋_GB2312" w:eastAsia="仿宋_GB2312" w:cs="仿宋_GB2312"/>
          <w:b w:val="0"/>
          <w:bCs/>
          <w:color w:val="auto"/>
          <w:sz w:val="32"/>
          <w:szCs w:val="32"/>
          <w:highlight w:val="none"/>
          <w:lang w:eastAsia="zh-CN"/>
        </w:rPr>
        <w:t>与</w:t>
      </w:r>
      <w:r>
        <w:rPr>
          <w:rStyle w:val="18"/>
          <w:rFonts w:hint="eastAsia" w:ascii="仿宋_GB2312" w:hAnsi="仿宋_GB2312" w:eastAsia="仿宋_GB2312" w:cs="仿宋_GB2312"/>
          <w:b w:val="0"/>
          <w:bCs/>
          <w:color w:val="auto"/>
          <w:sz w:val="32"/>
          <w:szCs w:val="32"/>
          <w:highlight w:val="none"/>
        </w:rPr>
        <w:t>预算数</w:t>
      </w:r>
      <w:r>
        <w:rPr>
          <w:rStyle w:val="18"/>
          <w:rFonts w:hint="eastAsia" w:ascii="仿宋_GB2312" w:hAnsi="仿宋_GB2312" w:eastAsia="仿宋_GB2312" w:cs="仿宋_GB2312"/>
          <w:b w:val="0"/>
          <w:bCs/>
          <w:color w:val="auto"/>
          <w:sz w:val="32"/>
          <w:szCs w:val="32"/>
          <w:highlight w:val="none"/>
          <w:lang w:eastAsia="zh-CN"/>
        </w:rPr>
        <w:t>一致</w:t>
      </w:r>
      <w:r>
        <w:rPr>
          <w:rStyle w:val="18"/>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b/>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3.</w:t>
      </w:r>
      <w:r>
        <w:rPr>
          <w:rStyle w:val="18"/>
          <w:rFonts w:hint="eastAsia" w:ascii="仿宋_GB2312" w:hAnsi="仿宋_GB2312" w:eastAsia="仿宋_GB2312" w:cs="仿宋_GB2312"/>
          <w:bCs/>
          <w:color w:val="auto"/>
          <w:sz w:val="32"/>
          <w:szCs w:val="32"/>
          <w:highlight w:val="none"/>
        </w:rPr>
        <w:t>社会保障和就业</w:t>
      </w:r>
      <w:r>
        <w:rPr>
          <w:rStyle w:val="18"/>
          <w:rFonts w:hint="eastAsia" w:ascii="仿宋_GB2312" w:hAnsi="仿宋_GB2312" w:eastAsia="仿宋_GB2312" w:cs="仿宋_GB2312"/>
          <w:bCs/>
          <w:color w:val="auto"/>
          <w:sz w:val="32"/>
          <w:szCs w:val="32"/>
          <w:highlight w:val="none"/>
          <w:lang w:eastAsia="zh-CN"/>
        </w:rPr>
        <w:t>支出</w:t>
      </w:r>
      <w:r>
        <w:rPr>
          <w:rStyle w:val="18"/>
          <w:rFonts w:hint="eastAsia" w:ascii="仿宋_GB2312" w:hAnsi="仿宋_GB2312" w:eastAsia="仿宋_GB2312" w:cs="仿宋_GB2312"/>
          <w:bCs/>
          <w:color w:val="auto"/>
          <w:sz w:val="32"/>
          <w:szCs w:val="32"/>
          <w:highlight w:val="none"/>
        </w:rPr>
        <w:t xml:space="preserve">（类）行政事业单位养老支出（款）  </w:t>
      </w:r>
      <w:r>
        <w:rPr>
          <w:rStyle w:val="18"/>
          <w:rFonts w:hint="eastAsia" w:ascii="仿宋_GB2312" w:hAnsi="仿宋_GB2312" w:eastAsia="仿宋_GB2312" w:cs="仿宋_GB2312"/>
          <w:bCs/>
          <w:color w:val="auto"/>
          <w:sz w:val="32"/>
          <w:szCs w:val="32"/>
          <w:highlight w:val="none"/>
          <w:lang w:eastAsia="zh-CN"/>
        </w:rPr>
        <w:t>事业</w:t>
      </w:r>
      <w:r>
        <w:rPr>
          <w:rStyle w:val="18"/>
          <w:rFonts w:hint="eastAsia" w:ascii="仿宋_GB2312" w:hAnsi="仿宋_GB2312" w:eastAsia="仿宋_GB2312" w:cs="仿宋_GB2312"/>
          <w:bCs/>
          <w:color w:val="auto"/>
          <w:sz w:val="32"/>
          <w:szCs w:val="32"/>
          <w:highlight w:val="none"/>
        </w:rPr>
        <w:t>单位离退休（项）: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17.37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w:t>
      </w:r>
      <w:r>
        <w:rPr>
          <w:rStyle w:val="18"/>
          <w:rFonts w:hint="eastAsia" w:ascii="仿宋_GB2312" w:hAnsi="仿宋_GB2312" w:eastAsia="仿宋_GB2312" w:cs="仿宋_GB2312"/>
          <w:b w:val="0"/>
          <w:bCs/>
          <w:color w:val="auto"/>
          <w:sz w:val="32"/>
          <w:szCs w:val="32"/>
          <w:highlight w:val="none"/>
          <w:lang w:eastAsia="zh-CN"/>
        </w:rPr>
        <w:t>与</w:t>
      </w:r>
      <w:r>
        <w:rPr>
          <w:rStyle w:val="18"/>
          <w:rFonts w:hint="eastAsia" w:ascii="仿宋_GB2312" w:hAnsi="仿宋_GB2312" w:eastAsia="仿宋_GB2312" w:cs="仿宋_GB2312"/>
          <w:b w:val="0"/>
          <w:bCs/>
          <w:color w:val="auto"/>
          <w:sz w:val="32"/>
          <w:szCs w:val="32"/>
          <w:highlight w:val="none"/>
        </w:rPr>
        <w:t>预算数</w:t>
      </w:r>
      <w:r>
        <w:rPr>
          <w:rStyle w:val="18"/>
          <w:rFonts w:hint="eastAsia" w:ascii="仿宋_GB2312" w:hAnsi="仿宋_GB2312" w:eastAsia="仿宋_GB2312" w:cs="仿宋_GB2312"/>
          <w:b w:val="0"/>
          <w:bCs/>
          <w:color w:val="auto"/>
          <w:sz w:val="32"/>
          <w:szCs w:val="32"/>
          <w:highlight w:val="none"/>
          <w:lang w:eastAsia="zh-CN"/>
        </w:rPr>
        <w:t>一致</w:t>
      </w:r>
      <w:r>
        <w:rPr>
          <w:rStyle w:val="18"/>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b/>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4</w:t>
      </w:r>
      <w:r>
        <w:rPr>
          <w:rStyle w:val="18"/>
          <w:rFonts w:hint="eastAsia" w:ascii="仿宋_GB2312" w:hAnsi="仿宋_GB2312" w:eastAsia="仿宋_GB2312" w:cs="仿宋_GB2312"/>
          <w:bCs/>
          <w:color w:val="auto"/>
          <w:sz w:val="32"/>
          <w:szCs w:val="32"/>
          <w:highlight w:val="none"/>
        </w:rPr>
        <w:t>.社会保障和就业</w:t>
      </w:r>
      <w:r>
        <w:rPr>
          <w:rStyle w:val="18"/>
          <w:rFonts w:hint="eastAsia" w:ascii="仿宋_GB2312" w:hAnsi="仿宋_GB2312" w:eastAsia="仿宋_GB2312" w:cs="仿宋_GB2312"/>
          <w:bCs/>
          <w:color w:val="auto"/>
          <w:sz w:val="32"/>
          <w:szCs w:val="32"/>
          <w:highlight w:val="none"/>
          <w:lang w:eastAsia="zh-CN"/>
        </w:rPr>
        <w:t>支出</w:t>
      </w:r>
      <w:r>
        <w:rPr>
          <w:rStyle w:val="18"/>
          <w:rFonts w:hint="eastAsia" w:ascii="仿宋_GB2312" w:hAnsi="仿宋_GB2312" w:eastAsia="仿宋_GB2312" w:cs="仿宋_GB2312"/>
          <w:bCs/>
          <w:color w:val="auto"/>
          <w:sz w:val="32"/>
          <w:szCs w:val="32"/>
          <w:highlight w:val="none"/>
        </w:rPr>
        <w:t>（类）行政事业单位养老支出（款）     机关事业单位基本养老保险缴费支出（项）:</w:t>
      </w:r>
      <w:r>
        <w:rPr>
          <w:rStyle w:val="18"/>
          <w:rFonts w:hint="eastAsia" w:ascii="仿宋_GB2312" w:hAnsi="仿宋_GB2312" w:eastAsia="仿宋_GB2312" w:cs="仿宋_GB2312"/>
          <w:b w:val="0"/>
          <w:bCs/>
          <w:color w:val="auto"/>
          <w:sz w:val="32"/>
          <w:szCs w:val="32"/>
          <w:highlight w:val="none"/>
        </w:rPr>
        <w:t xml:space="preserve"> 支出决算为</w:t>
      </w:r>
      <w:r>
        <w:rPr>
          <w:rStyle w:val="18"/>
          <w:rFonts w:hint="eastAsia" w:ascii="仿宋_GB2312" w:hAnsi="仿宋_GB2312" w:eastAsia="仿宋_GB2312" w:cs="仿宋_GB2312"/>
          <w:b w:val="0"/>
          <w:bCs/>
          <w:color w:val="auto"/>
          <w:sz w:val="32"/>
          <w:szCs w:val="32"/>
          <w:highlight w:val="none"/>
          <w:lang w:val="en-US" w:eastAsia="zh-CN"/>
        </w:rPr>
        <w:t>110.52</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w:t>
      </w:r>
      <w:r>
        <w:rPr>
          <w:rStyle w:val="18"/>
          <w:rFonts w:hint="eastAsia" w:ascii="仿宋_GB2312" w:hAnsi="仿宋_GB2312" w:eastAsia="仿宋_GB2312" w:cs="仿宋_GB2312"/>
          <w:b w:val="0"/>
          <w:bCs/>
          <w:color w:val="auto"/>
          <w:sz w:val="32"/>
          <w:szCs w:val="32"/>
          <w:highlight w:val="none"/>
          <w:lang w:eastAsia="zh-CN"/>
        </w:rPr>
        <w:t>与</w:t>
      </w:r>
      <w:r>
        <w:rPr>
          <w:rStyle w:val="18"/>
          <w:rFonts w:hint="eastAsia" w:ascii="仿宋_GB2312" w:hAnsi="仿宋_GB2312" w:eastAsia="仿宋_GB2312" w:cs="仿宋_GB2312"/>
          <w:b w:val="0"/>
          <w:bCs/>
          <w:color w:val="auto"/>
          <w:sz w:val="32"/>
          <w:szCs w:val="32"/>
          <w:highlight w:val="none"/>
        </w:rPr>
        <w:t>预算数</w:t>
      </w:r>
      <w:r>
        <w:rPr>
          <w:rStyle w:val="18"/>
          <w:rFonts w:hint="eastAsia" w:ascii="仿宋_GB2312" w:hAnsi="仿宋_GB2312" w:eastAsia="仿宋_GB2312" w:cs="仿宋_GB2312"/>
          <w:b w:val="0"/>
          <w:bCs/>
          <w:color w:val="auto"/>
          <w:sz w:val="32"/>
          <w:szCs w:val="32"/>
          <w:highlight w:val="none"/>
          <w:lang w:eastAsia="zh-CN"/>
        </w:rPr>
        <w:t>一致</w:t>
      </w:r>
      <w:r>
        <w:rPr>
          <w:rStyle w:val="18"/>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b/>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5</w:t>
      </w:r>
      <w:r>
        <w:rPr>
          <w:rStyle w:val="18"/>
          <w:rFonts w:hint="eastAsia" w:ascii="仿宋_GB2312" w:hAnsi="仿宋_GB2312" w:eastAsia="仿宋_GB2312" w:cs="仿宋_GB2312"/>
          <w:bCs/>
          <w:color w:val="auto"/>
          <w:sz w:val="32"/>
          <w:szCs w:val="32"/>
          <w:highlight w:val="none"/>
        </w:rPr>
        <w:t>.社会保障和就业</w:t>
      </w:r>
      <w:r>
        <w:rPr>
          <w:rStyle w:val="18"/>
          <w:rFonts w:hint="eastAsia" w:ascii="仿宋_GB2312" w:hAnsi="仿宋_GB2312" w:eastAsia="仿宋_GB2312" w:cs="仿宋_GB2312"/>
          <w:bCs/>
          <w:color w:val="auto"/>
          <w:sz w:val="32"/>
          <w:szCs w:val="32"/>
          <w:highlight w:val="none"/>
          <w:lang w:eastAsia="zh-CN"/>
        </w:rPr>
        <w:t>支出</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eastAsia="zh-CN"/>
        </w:rPr>
        <w:t>抚恤</w:t>
      </w:r>
      <w:r>
        <w:rPr>
          <w:rStyle w:val="18"/>
          <w:rFonts w:hint="eastAsia" w:ascii="仿宋_GB2312" w:hAnsi="仿宋_GB2312" w:eastAsia="仿宋_GB2312" w:cs="仿宋_GB2312"/>
          <w:bCs/>
          <w:color w:val="auto"/>
          <w:sz w:val="32"/>
          <w:szCs w:val="32"/>
          <w:highlight w:val="none"/>
        </w:rPr>
        <w:t>（款）</w:t>
      </w:r>
      <w:r>
        <w:rPr>
          <w:rStyle w:val="18"/>
          <w:rFonts w:hint="eastAsia" w:ascii="仿宋_GB2312" w:hAnsi="仿宋_GB2312" w:eastAsia="仿宋_GB2312" w:cs="仿宋_GB2312"/>
          <w:bCs/>
          <w:color w:val="auto"/>
          <w:sz w:val="32"/>
          <w:szCs w:val="32"/>
          <w:highlight w:val="none"/>
          <w:lang w:eastAsia="zh-CN"/>
        </w:rPr>
        <w:t>死亡抚恤</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 xml:space="preserve"> 支出决算为</w:t>
      </w:r>
      <w:r>
        <w:rPr>
          <w:rStyle w:val="18"/>
          <w:rFonts w:hint="eastAsia" w:ascii="仿宋_GB2312" w:hAnsi="仿宋_GB2312" w:eastAsia="仿宋_GB2312" w:cs="仿宋_GB2312"/>
          <w:b w:val="0"/>
          <w:bCs/>
          <w:color w:val="auto"/>
          <w:sz w:val="32"/>
          <w:szCs w:val="32"/>
          <w:highlight w:val="none"/>
          <w:lang w:val="en-US" w:eastAsia="zh-CN"/>
        </w:rPr>
        <w:t>25.42</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w:t>
      </w:r>
      <w:r>
        <w:rPr>
          <w:rStyle w:val="18"/>
          <w:rFonts w:hint="eastAsia" w:ascii="仿宋_GB2312" w:hAnsi="仿宋_GB2312" w:eastAsia="仿宋_GB2312" w:cs="仿宋_GB2312"/>
          <w:b w:val="0"/>
          <w:bCs/>
          <w:color w:val="auto"/>
          <w:sz w:val="32"/>
          <w:szCs w:val="32"/>
          <w:highlight w:val="none"/>
          <w:lang w:eastAsia="zh-CN"/>
        </w:rPr>
        <w:t>与</w:t>
      </w:r>
      <w:r>
        <w:rPr>
          <w:rStyle w:val="18"/>
          <w:rFonts w:hint="eastAsia" w:ascii="仿宋_GB2312" w:hAnsi="仿宋_GB2312" w:eastAsia="仿宋_GB2312" w:cs="仿宋_GB2312"/>
          <w:b w:val="0"/>
          <w:bCs/>
          <w:color w:val="auto"/>
          <w:sz w:val="32"/>
          <w:szCs w:val="32"/>
          <w:highlight w:val="none"/>
        </w:rPr>
        <w:t>预算数</w:t>
      </w:r>
      <w:r>
        <w:rPr>
          <w:rStyle w:val="18"/>
          <w:rFonts w:hint="eastAsia" w:ascii="仿宋_GB2312" w:hAnsi="仿宋_GB2312" w:eastAsia="仿宋_GB2312" w:cs="仿宋_GB2312"/>
          <w:b w:val="0"/>
          <w:bCs/>
          <w:color w:val="auto"/>
          <w:sz w:val="32"/>
          <w:szCs w:val="32"/>
          <w:highlight w:val="none"/>
          <w:lang w:eastAsia="zh-CN"/>
        </w:rPr>
        <w:t>一致</w:t>
      </w:r>
      <w:r>
        <w:rPr>
          <w:rStyle w:val="18"/>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b/>
          <w:color w:val="auto"/>
          <w:sz w:val="32"/>
          <w:szCs w:val="32"/>
          <w:highlight w:val="none"/>
        </w:rPr>
      </w:pPr>
      <w:r>
        <w:rPr>
          <w:rStyle w:val="18"/>
          <w:rFonts w:hint="eastAsia" w:ascii="仿宋_GB2312" w:hAnsi="仿宋_GB2312" w:eastAsia="仿宋_GB2312" w:cs="仿宋_GB2312"/>
          <w:bCs/>
          <w:color w:val="auto"/>
          <w:sz w:val="32"/>
          <w:szCs w:val="32"/>
          <w:highlight w:val="none"/>
        </w:rPr>
        <w:t>6.</w:t>
      </w:r>
      <w:r>
        <w:rPr>
          <w:rFonts w:hint="eastAsia" w:ascii="仿宋_GB2312" w:hAnsi="仿宋_GB2312" w:eastAsia="仿宋_GB2312" w:cs="仿宋_GB2312"/>
          <w:b/>
          <w:bCs/>
          <w:color w:val="auto"/>
          <w:sz w:val="32"/>
          <w:szCs w:val="32"/>
          <w:highlight w:val="none"/>
        </w:rPr>
        <w:t>卫生健康</w:t>
      </w:r>
      <w:r>
        <w:rPr>
          <w:rFonts w:hint="eastAsia" w:ascii="仿宋_GB2312" w:hAnsi="仿宋_GB2312" w:eastAsia="仿宋_GB2312" w:cs="仿宋_GB2312"/>
          <w:b/>
          <w:bCs/>
          <w:color w:val="auto"/>
          <w:sz w:val="32"/>
          <w:szCs w:val="32"/>
          <w:highlight w:val="none"/>
          <w:lang w:eastAsia="zh-CN"/>
        </w:rPr>
        <w:t>支出</w:t>
      </w:r>
      <w:r>
        <w:rPr>
          <w:rStyle w:val="18"/>
          <w:rFonts w:hint="eastAsia" w:ascii="仿宋_GB2312" w:hAnsi="仿宋_GB2312" w:eastAsia="仿宋_GB2312" w:cs="仿宋_GB2312"/>
          <w:bCs/>
          <w:color w:val="auto"/>
          <w:sz w:val="32"/>
          <w:szCs w:val="32"/>
          <w:highlight w:val="none"/>
        </w:rPr>
        <w:t>（类）行政事业单位医疗（款） 行政单位医疗（项）: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14.74</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w:t>
      </w:r>
      <w:r>
        <w:rPr>
          <w:rStyle w:val="18"/>
          <w:rFonts w:hint="eastAsia" w:ascii="仿宋_GB2312" w:hAnsi="仿宋_GB2312" w:eastAsia="仿宋_GB2312" w:cs="仿宋_GB2312"/>
          <w:b w:val="0"/>
          <w:bCs/>
          <w:color w:val="auto"/>
          <w:sz w:val="32"/>
          <w:szCs w:val="32"/>
          <w:highlight w:val="none"/>
          <w:lang w:eastAsia="zh-CN"/>
        </w:rPr>
        <w:t>与</w:t>
      </w:r>
      <w:r>
        <w:rPr>
          <w:rStyle w:val="18"/>
          <w:rFonts w:hint="eastAsia" w:ascii="仿宋_GB2312" w:hAnsi="仿宋_GB2312" w:eastAsia="仿宋_GB2312" w:cs="仿宋_GB2312"/>
          <w:b w:val="0"/>
          <w:bCs/>
          <w:color w:val="auto"/>
          <w:sz w:val="32"/>
          <w:szCs w:val="32"/>
          <w:highlight w:val="none"/>
        </w:rPr>
        <w:t>预算数</w:t>
      </w:r>
      <w:r>
        <w:rPr>
          <w:rStyle w:val="18"/>
          <w:rFonts w:hint="eastAsia" w:ascii="仿宋_GB2312" w:hAnsi="仿宋_GB2312" w:eastAsia="仿宋_GB2312" w:cs="仿宋_GB2312"/>
          <w:b w:val="0"/>
          <w:bCs/>
          <w:color w:val="auto"/>
          <w:sz w:val="32"/>
          <w:szCs w:val="32"/>
          <w:highlight w:val="none"/>
          <w:lang w:eastAsia="zh-CN"/>
        </w:rPr>
        <w:t>一致</w:t>
      </w:r>
      <w:r>
        <w:rPr>
          <w:rStyle w:val="18"/>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7</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Fonts w:hint="eastAsia" w:ascii="仿宋_GB2312" w:hAnsi="仿宋_GB2312" w:eastAsia="仿宋_GB2312" w:cs="仿宋_GB2312"/>
          <w:b/>
          <w:bCs/>
          <w:color w:val="auto"/>
          <w:sz w:val="32"/>
          <w:szCs w:val="32"/>
          <w:highlight w:val="none"/>
          <w:lang w:eastAsia="zh-CN"/>
        </w:rPr>
        <w:t>支出</w:t>
      </w:r>
      <w:r>
        <w:rPr>
          <w:rStyle w:val="18"/>
          <w:rFonts w:hint="eastAsia" w:ascii="仿宋_GB2312" w:hAnsi="仿宋_GB2312" w:eastAsia="仿宋_GB2312" w:cs="仿宋_GB2312"/>
          <w:bCs/>
          <w:color w:val="auto"/>
          <w:sz w:val="32"/>
          <w:szCs w:val="32"/>
          <w:highlight w:val="none"/>
        </w:rPr>
        <w:t>（类）行政事业单位医疗（款） 事业单位医疗（项）: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28.18</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w:t>
      </w:r>
      <w:r>
        <w:rPr>
          <w:rStyle w:val="18"/>
          <w:rFonts w:hint="eastAsia" w:ascii="仿宋_GB2312" w:hAnsi="仿宋_GB2312" w:eastAsia="仿宋_GB2312" w:cs="仿宋_GB2312"/>
          <w:b w:val="0"/>
          <w:bCs/>
          <w:color w:val="auto"/>
          <w:sz w:val="32"/>
          <w:szCs w:val="32"/>
          <w:highlight w:val="none"/>
          <w:lang w:eastAsia="zh-CN"/>
        </w:rPr>
        <w:t>与</w:t>
      </w:r>
      <w:r>
        <w:rPr>
          <w:rStyle w:val="18"/>
          <w:rFonts w:hint="eastAsia" w:ascii="仿宋_GB2312" w:hAnsi="仿宋_GB2312" w:eastAsia="仿宋_GB2312" w:cs="仿宋_GB2312"/>
          <w:b w:val="0"/>
          <w:bCs/>
          <w:color w:val="auto"/>
          <w:sz w:val="32"/>
          <w:szCs w:val="32"/>
          <w:highlight w:val="none"/>
        </w:rPr>
        <w:t>预算数</w:t>
      </w:r>
      <w:r>
        <w:rPr>
          <w:rStyle w:val="18"/>
          <w:rFonts w:hint="eastAsia" w:ascii="仿宋_GB2312" w:hAnsi="仿宋_GB2312" w:eastAsia="仿宋_GB2312" w:cs="仿宋_GB2312"/>
          <w:b w:val="0"/>
          <w:bCs/>
          <w:color w:val="auto"/>
          <w:sz w:val="32"/>
          <w:szCs w:val="32"/>
          <w:highlight w:val="none"/>
          <w:lang w:eastAsia="zh-CN"/>
        </w:rPr>
        <w:t>一致</w:t>
      </w:r>
      <w:r>
        <w:rPr>
          <w:rStyle w:val="18"/>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b/>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8</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Style w:val="18"/>
          <w:rFonts w:hint="eastAsia" w:ascii="仿宋_GB2312" w:hAnsi="仿宋_GB2312" w:eastAsia="仿宋_GB2312" w:cs="仿宋_GB2312"/>
          <w:bCs/>
          <w:color w:val="auto"/>
          <w:sz w:val="32"/>
          <w:szCs w:val="32"/>
          <w:highlight w:val="none"/>
        </w:rPr>
        <w:t>（类）住房改革支出（款）住房公积金（项）: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77.73</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%，决算数</w:t>
      </w:r>
      <w:r>
        <w:rPr>
          <w:rStyle w:val="18"/>
          <w:rFonts w:hint="eastAsia" w:ascii="仿宋_GB2312" w:hAnsi="仿宋_GB2312" w:eastAsia="仿宋_GB2312" w:cs="仿宋_GB2312"/>
          <w:b w:val="0"/>
          <w:bCs/>
          <w:color w:val="auto"/>
          <w:sz w:val="32"/>
          <w:szCs w:val="32"/>
          <w:highlight w:val="none"/>
          <w:lang w:eastAsia="zh-CN"/>
        </w:rPr>
        <w:t>与</w:t>
      </w:r>
      <w:r>
        <w:rPr>
          <w:rStyle w:val="18"/>
          <w:rFonts w:hint="eastAsia" w:ascii="仿宋_GB2312" w:hAnsi="仿宋_GB2312" w:eastAsia="仿宋_GB2312" w:cs="仿宋_GB2312"/>
          <w:b w:val="0"/>
          <w:bCs/>
          <w:color w:val="auto"/>
          <w:sz w:val="32"/>
          <w:szCs w:val="32"/>
          <w:highlight w:val="none"/>
        </w:rPr>
        <w:t>预算数</w:t>
      </w:r>
      <w:r>
        <w:rPr>
          <w:rStyle w:val="18"/>
          <w:rFonts w:hint="eastAsia" w:ascii="仿宋_GB2312" w:hAnsi="仿宋_GB2312" w:eastAsia="仿宋_GB2312" w:cs="仿宋_GB2312"/>
          <w:b w:val="0"/>
          <w:bCs/>
          <w:color w:val="auto"/>
          <w:sz w:val="32"/>
          <w:szCs w:val="32"/>
          <w:highlight w:val="none"/>
          <w:lang w:eastAsia="zh-CN"/>
        </w:rPr>
        <w:t>一致</w:t>
      </w:r>
      <w:r>
        <w:rPr>
          <w:rStyle w:val="18"/>
          <w:rFonts w:hint="eastAsia" w:ascii="仿宋_GB2312" w:hAnsi="仿宋_GB2312" w:eastAsia="仿宋_GB2312" w:cs="仿宋_GB2312"/>
          <w:b w:val="0"/>
          <w:bCs/>
          <w:color w:val="auto"/>
          <w:sz w:val="32"/>
          <w:szCs w:val="32"/>
          <w:highlight w:val="none"/>
        </w:rPr>
        <w:t>。</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outlineLvl w:val="1"/>
        <w:rPr>
          <w:rStyle w:val="31"/>
          <w:rFonts w:hint="eastAsia" w:ascii="仿宋_GB2312" w:hAnsi="仿宋_GB2312" w:eastAsia="仿宋_GB2312" w:cs="仿宋_GB2312"/>
          <w:color w:val="auto"/>
          <w:highlight w:val="none"/>
        </w:rPr>
      </w:pPr>
      <w:bookmarkStart w:id="40" w:name="_Toc15396608"/>
      <w:bookmarkStart w:id="41" w:name="_Toc15377214"/>
      <w:r>
        <w:rPr>
          <w:rFonts w:hint="eastAsia" w:ascii="黑体" w:hAnsi="黑体" w:eastAsia="黑体"/>
          <w:color w:val="auto"/>
          <w:sz w:val="32"/>
          <w:szCs w:val="32"/>
          <w:highlight w:val="none"/>
        </w:rPr>
        <w:t>六、一般公共预算财政拨款基本支出决算情况说明</w:t>
      </w:r>
      <w:bookmarkEnd w:id="40"/>
      <w:bookmarkEnd w:id="41"/>
      <w:r>
        <w:rPr>
          <w:rStyle w:val="31"/>
          <w:rFonts w:hint="eastAsia" w:ascii="仿宋_GB2312" w:hAnsi="仿宋_GB2312" w:eastAsia="仿宋_GB2312" w:cs="仿宋_GB2312"/>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20</w:t>
      </w:r>
      <w:r>
        <w:rPr>
          <w:rFonts w:hint="eastAsia" w:ascii="仿宋_GB2312" w:hAnsi="仿宋_GB2312" w:eastAsia="仿宋_GB2312" w:cs="仿宋_GB2312"/>
          <w:color w:val="auto"/>
          <w:spacing w:val="-6"/>
          <w:sz w:val="32"/>
          <w:szCs w:val="32"/>
          <w:highlight w:val="none"/>
          <w:lang w:val="en-US" w:eastAsia="zh-CN"/>
        </w:rPr>
        <w:t>23</w:t>
      </w:r>
      <w:r>
        <w:rPr>
          <w:rFonts w:hint="eastAsia" w:ascii="仿宋_GB2312" w:hAnsi="仿宋_GB2312" w:eastAsia="仿宋_GB2312" w:cs="仿宋_GB2312"/>
          <w:color w:val="auto"/>
          <w:spacing w:val="-6"/>
          <w:sz w:val="32"/>
          <w:szCs w:val="32"/>
          <w:highlight w:val="none"/>
        </w:rPr>
        <w:t>年一般公共预算财政拨款基本支出</w:t>
      </w:r>
      <w:r>
        <w:rPr>
          <w:rFonts w:hint="eastAsia" w:ascii="仿宋_GB2312" w:hAnsi="仿宋_GB2312" w:eastAsia="仿宋_GB2312" w:cs="仿宋_GB2312"/>
          <w:color w:val="auto"/>
          <w:spacing w:val="-6"/>
          <w:sz w:val="32"/>
          <w:szCs w:val="32"/>
          <w:highlight w:val="none"/>
          <w:lang w:val="en-US" w:eastAsia="zh-CN"/>
        </w:rPr>
        <w:t>1345.65</w:t>
      </w:r>
      <w:r>
        <w:rPr>
          <w:rFonts w:hint="eastAsia" w:ascii="仿宋_GB2312" w:hAnsi="仿宋_GB2312" w:eastAsia="仿宋_GB2312" w:cs="仿宋_GB2312"/>
          <w:color w:val="auto"/>
          <w:spacing w:val="-6"/>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1119.52</w:t>
      </w:r>
      <w:r>
        <w:rPr>
          <w:rFonts w:hint="eastAsia" w:ascii="仿宋_GB2312" w:hAnsi="仿宋_GB2312" w:eastAsia="仿宋_GB2312" w:cs="仿宋_GB2312"/>
          <w:color w:val="auto"/>
          <w:sz w:val="32"/>
          <w:szCs w:val="32"/>
          <w:highlight w:val="none"/>
        </w:rPr>
        <w:t>万元，主要包括：基本工资、津贴补贴、奖金、绩效工资、机关事业单位基本养老保险缴费、其他社会保障缴费、其他工资福利支出、抚恤金、生活补助、医疗费补助、奖励金、住房公积金、其他对个人和家庭的补助支出等。</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eastAsia="仿宋_GB2312" w:cs="仿宋_GB2312"/>
          <w:color w:val="auto"/>
          <w:sz w:val="32"/>
          <w:szCs w:val="32"/>
          <w:highlight w:val="none"/>
          <w:lang w:val="en-US" w:eastAsia="zh-CN"/>
        </w:rPr>
        <w:t>226.13</w:t>
      </w:r>
      <w:r>
        <w:rPr>
          <w:rFonts w:hint="eastAsia" w:ascii="仿宋_GB2312" w:hAnsi="仿宋_GB2312" w:eastAsia="仿宋_GB2312" w:cs="仿宋_GB2312"/>
          <w:color w:val="auto"/>
          <w:sz w:val="32"/>
          <w:szCs w:val="32"/>
          <w:highlight w:val="none"/>
        </w:rPr>
        <w:t>万元，主要包括：办公费、印刷费、水费、电费、邮电费、物业管理费、差旅费、维修（护）费、培训费、公务接待费、劳务费、委托业务费、工会经费、福利费、公务用车运行维护费、其他交通费、其他商品和服务支出等。</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outlineLvl w:val="1"/>
        <w:rPr>
          <w:rFonts w:hint="eastAsia" w:ascii="黑体" w:hAnsi="黑体" w:eastAsia="黑体"/>
          <w:color w:val="auto"/>
          <w:sz w:val="32"/>
          <w:szCs w:val="32"/>
          <w:highlight w:val="none"/>
        </w:rPr>
      </w:pPr>
      <w:bookmarkStart w:id="42" w:name="_Toc15377215"/>
      <w:bookmarkStart w:id="43" w:name="_Toc15396609"/>
      <w:r>
        <w:rPr>
          <w:rFonts w:hint="eastAsia" w:ascii="黑体" w:hAnsi="黑体" w:eastAsia="黑体"/>
          <w:color w:val="auto"/>
          <w:sz w:val="32"/>
          <w:szCs w:val="32"/>
          <w:highlight w:val="none"/>
        </w:rPr>
        <w:t>七、“三公”经费财政拨款支出决算情况说明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方正楷体_GBK" w:hAnsi="方正楷体_GBK" w:eastAsia="方正楷体_GBK" w:cs="方正楷体_GBK"/>
          <w:b/>
          <w:color w:val="auto"/>
          <w:sz w:val="32"/>
          <w:szCs w:val="32"/>
          <w:highlight w:val="none"/>
        </w:rPr>
      </w:pPr>
      <w:bookmarkStart w:id="44" w:name="_Toc15377216"/>
      <w:r>
        <w:rPr>
          <w:rFonts w:hint="eastAsia" w:ascii="方正楷体_GBK" w:hAnsi="方正楷体_GBK" w:eastAsia="方正楷体_GBK" w:cs="方正楷体_GBK"/>
          <w:b/>
          <w:color w:val="auto"/>
          <w:sz w:val="32"/>
          <w:szCs w:val="32"/>
          <w:highlight w:val="none"/>
        </w:rPr>
        <w:t>（一）“三公”经费财政拨款支出决算总体情况说明</w:t>
      </w:r>
      <w:bookmarkEnd w:id="44"/>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4.70</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方正楷体_GBK" w:hAnsi="方正楷体_GBK" w:eastAsia="方正楷体_GBK" w:cs="方正楷体_GBK"/>
          <w:b/>
          <w:color w:val="auto"/>
          <w:sz w:val="32"/>
          <w:szCs w:val="32"/>
          <w:highlight w:val="none"/>
        </w:rPr>
      </w:pPr>
      <w:bookmarkStart w:id="45" w:name="_Toc15377217"/>
      <w:r>
        <w:rPr>
          <w:rFonts w:hint="eastAsia" w:ascii="方正楷体_GBK" w:hAnsi="方正楷体_GBK" w:eastAsia="方正楷体_GBK" w:cs="方正楷体_GBK"/>
          <w:b/>
          <w:color w:val="auto"/>
          <w:sz w:val="32"/>
          <w:szCs w:val="32"/>
          <w:highlight w:val="none"/>
        </w:rPr>
        <w:t>（二）“三公”经费财政拨款支出决算具体情况说明</w:t>
      </w:r>
      <w:bookmarkEnd w:id="45"/>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3.73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79.36</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0.97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20.64</w:t>
      </w:r>
      <w:r>
        <w:rPr>
          <w:rFonts w:hint="eastAsia" w:ascii="仿宋_GB2312" w:hAnsi="仿宋_GB2312" w:eastAsia="仿宋_GB2312" w:cs="仿宋_GB2312"/>
          <w:color w:val="auto"/>
          <w:sz w:val="32"/>
          <w:szCs w:val="32"/>
          <w:highlight w:val="none"/>
        </w:rPr>
        <w:t>%。具体情况如下：</w:t>
      </w:r>
    </w:p>
    <w:p>
      <w:pPr>
        <w:pStyle w:val="8"/>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2668270"/>
            <wp:effectExtent l="4445" t="4445" r="20955" b="1333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600" w:lineRule="exact"/>
        <w:ind w:firstLine="3488" w:firstLineChars="1104"/>
        <w:jc w:val="both"/>
        <w:rPr>
          <w:rFonts w:hint="eastAsia" w:ascii="仿宋_GB2312" w:eastAsia="仿宋_GB2312"/>
          <w:b w:val="0"/>
          <w:bCs/>
          <w:color w:val="auto"/>
          <w:sz w:val="32"/>
          <w:szCs w:val="32"/>
          <w:highlight w:val="none"/>
          <w:lang w:eastAsia="zh-CN"/>
        </w:rPr>
      </w:pPr>
      <w:r>
        <w:rPr>
          <w:rFonts w:hint="eastAsia" w:ascii="仿宋_GB2312" w:eastAsia="仿宋_GB2312"/>
          <w:b w:val="0"/>
          <w:bCs/>
          <w:color w:val="auto"/>
          <w:sz w:val="32"/>
          <w:szCs w:val="32"/>
          <w:highlight w:val="none"/>
          <w:lang w:eastAsia="zh-CN"/>
        </w:rPr>
        <w:t>（图七）</w:t>
      </w:r>
    </w:p>
    <w:p>
      <w:pPr>
        <w:spacing w:line="600" w:lineRule="exact"/>
        <w:ind w:firstLine="632"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eastAsia="仿宋_GB2312" w:cs="仿宋_GB2312"/>
          <w:color w:val="auto"/>
          <w:sz w:val="32"/>
          <w:szCs w:val="32"/>
          <w:highlight w:val="none"/>
          <w:lang w:val="en-US" w:eastAsia="zh-CN"/>
        </w:rPr>
        <w:t>3.73</w:t>
      </w:r>
      <w:r>
        <w:rPr>
          <w:rFonts w:hint="eastAsia" w:ascii="仿宋_GB2312" w:hAnsi="仿宋_GB2312" w:eastAsia="仿宋_GB2312" w:cs="仿宋_GB2312"/>
          <w:color w:val="auto"/>
          <w:sz w:val="32"/>
          <w:szCs w:val="32"/>
          <w:highlight w:val="none"/>
        </w:rPr>
        <w:t>万元,</w:t>
      </w:r>
      <w:r>
        <w:rPr>
          <w:rStyle w:val="18"/>
          <w:rFonts w:hint="eastAsia" w:ascii="仿宋_GB2312" w:hAnsi="仿宋_GB2312" w:eastAsia="仿宋_GB2312" w:cs="仿宋_GB2312"/>
          <w:b w:val="0"/>
          <w:bCs/>
          <w:color w:val="auto"/>
          <w:sz w:val="32"/>
          <w:szCs w:val="32"/>
          <w:highlight w:val="none"/>
        </w:rPr>
        <w:t>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年增加</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eastAsia="zh-CN"/>
        </w:rPr>
        <w:t>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Hans"/>
        </w:rPr>
        <w:t>上升</w:t>
      </w:r>
      <w:r>
        <w:rPr>
          <w:rFonts w:hint="eastAsia" w:ascii="仿宋_GB2312" w:hAnsi="仿宋_GB2312" w:eastAsia="仿宋_GB2312" w:cs="仿宋_GB2312"/>
          <w:color w:val="auto"/>
          <w:sz w:val="32"/>
          <w:szCs w:val="32"/>
          <w:highlight w:val="none"/>
          <w:lang w:val="en-US" w:eastAsia="zh-CN"/>
        </w:rPr>
        <w:t>1.63</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eastAsia="zh-CN"/>
        </w:rPr>
        <w:t>一是公务用车出现故障，维修费较高；二是</w:t>
      </w:r>
      <w:r>
        <w:rPr>
          <w:rFonts w:hint="eastAsia" w:ascii="仿宋_GB2312" w:hAnsi="仿宋_GB2312" w:eastAsia="仿宋_GB2312" w:cs="仿宋_GB2312"/>
          <w:color w:val="auto"/>
          <w:sz w:val="32"/>
          <w:szCs w:val="32"/>
          <w:highlight w:val="none"/>
          <w:lang w:val="en-US" w:eastAsia="zh-Hans"/>
        </w:rPr>
        <w:t>本年</w:t>
      </w:r>
      <w:r>
        <w:rPr>
          <w:rFonts w:hint="eastAsia" w:ascii="仿宋_GB2312" w:hAnsi="仿宋_GB2312" w:eastAsia="仿宋_GB2312" w:cs="仿宋_GB2312"/>
          <w:color w:val="auto"/>
          <w:sz w:val="32"/>
          <w:szCs w:val="32"/>
          <w:highlight w:val="none"/>
          <w:lang w:val="en-US" w:eastAsia="zh-CN"/>
        </w:rPr>
        <w:t>培训任务增加、外出调研等</w:t>
      </w:r>
      <w:r>
        <w:rPr>
          <w:rFonts w:hint="eastAsia" w:ascii="仿宋_GB2312" w:hAnsi="仿宋_GB2312" w:eastAsia="仿宋_GB2312" w:cs="仿宋_GB2312"/>
          <w:color w:val="auto"/>
          <w:sz w:val="32"/>
          <w:szCs w:val="32"/>
          <w:highlight w:val="none"/>
          <w:lang w:val="en-US" w:eastAsia="zh-Hans"/>
        </w:rPr>
        <w:t>公车使用</w:t>
      </w:r>
      <w:r>
        <w:rPr>
          <w:rFonts w:hint="eastAsia" w:ascii="仿宋_GB2312" w:hAnsi="仿宋_GB2312" w:eastAsia="仿宋_GB2312" w:cs="仿宋_GB2312"/>
          <w:color w:val="auto"/>
          <w:sz w:val="32"/>
          <w:szCs w:val="32"/>
          <w:highlight w:val="none"/>
          <w:lang w:val="en-US" w:eastAsia="zh-CN"/>
        </w:rPr>
        <w:t>增多</w:t>
      </w:r>
      <w:r>
        <w:rPr>
          <w:rFonts w:hint="eastAsia" w:ascii="仿宋_GB2312" w:hAnsi="仿宋_GB2312" w:eastAsia="仿宋_GB2312" w:cs="仿宋_GB2312"/>
          <w:color w:val="auto"/>
          <w:sz w:val="32"/>
          <w:szCs w:val="32"/>
          <w:highlight w:val="none"/>
        </w:rPr>
        <w:t>。</w:t>
      </w:r>
    </w:p>
    <w:p>
      <w:pPr>
        <w:spacing w:line="600" w:lineRule="exact"/>
        <w:ind w:firstLine="632"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eastAsia="仿宋_GB2312" w:cs="仿宋_GB2312"/>
          <w:color w:val="auto"/>
          <w:sz w:val="32"/>
          <w:szCs w:val="32"/>
          <w:highlight w:val="none"/>
          <w:lang w:val="en-US" w:eastAsia="zh-CN"/>
        </w:rPr>
        <w:t>3.73</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保障行政运转、现场教学、调研、人事招聘</w:t>
      </w:r>
      <w:r>
        <w:rPr>
          <w:rFonts w:hint="eastAsia" w:ascii="仿宋_GB2312" w:hAnsi="仿宋_GB2312" w:eastAsia="仿宋_GB2312" w:cs="仿宋_GB2312"/>
          <w:color w:val="auto"/>
          <w:sz w:val="32"/>
          <w:szCs w:val="32"/>
          <w:highlight w:val="none"/>
        </w:rPr>
        <w:t>等所需的公务用车燃料费、维修费、过路过桥费、保险费等支出。</w:t>
      </w:r>
    </w:p>
    <w:p>
      <w:pPr>
        <w:spacing w:line="600" w:lineRule="exact"/>
        <w:ind w:firstLine="640"/>
        <w:rPr>
          <w:rFonts w:ascii="黑体" w:eastAsia="黑体"/>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eastAsia="仿宋_GB2312" w:cs="仿宋_GB2312"/>
          <w:color w:val="auto"/>
          <w:sz w:val="32"/>
          <w:szCs w:val="32"/>
          <w:highlight w:val="none"/>
          <w:lang w:val="en-US" w:eastAsia="zh-CN"/>
        </w:rPr>
        <w:t>0.97</w:t>
      </w:r>
      <w:r>
        <w:rPr>
          <w:rFonts w:hint="eastAsia" w:ascii="仿宋_GB2312" w:hAnsi="仿宋_GB2312" w:eastAsia="仿宋_GB2312" w:cs="仿宋_GB2312"/>
          <w:color w:val="auto"/>
          <w:sz w:val="32"/>
          <w:szCs w:val="32"/>
          <w:highlight w:val="none"/>
        </w:rPr>
        <w:t>万元，</w:t>
      </w:r>
      <w:r>
        <w:rPr>
          <w:rStyle w:val="18"/>
          <w:rFonts w:hint="eastAsia" w:ascii="仿宋_GB2312" w:hAnsi="仿宋_GB2312" w:eastAsia="仿宋_GB2312" w:cs="仿宋_GB2312"/>
          <w:b w:val="0"/>
          <w:bCs/>
          <w:color w:val="auto"/>
          <w:sz w:val="32"/>
          <w:szCs w:val="32"/>
          <w:highlight w:val="none"/>
        </w:rPr>
        <w:t>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Hans"/>
        </w:rPr>
        <w:t>增加</w:t>
      </w:r>
      <w:r>
        <w:rPr>
          <w:rFonts w:hint="eastAsia" w:ascii="仿宋_GB2312" w:hAnsi="仿宋_GB2312" w:eastAsia="仿宋_GB2312" w:cs="仿宋_GB2312"/>
          <w:color w:val="auto"/>
          <w:sz w:val="32"/>
          <w:szCs w:val="32"/>
          <w:highlight w:val="none"/>
          <w:lang w:eastAsia="zh-Hans"/>
        </w:rPr>
        <w:t>0</w:t>
      </w:r>
      <w:r>
        <w:rPr>
          <w:rFonts w:hint="eastAsia"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eastAsia="zh-Hans"/>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Hans"/>
        </w:rPr>
        <w:t>增加</w:t>
      </w:r>
      <w:r>
        <w:rPr>
          <w:rFonts w:hint="eastAsia" w:ascii="仿宋_GB2312" w:hAnsi="仿宋_GB2312" w:eastAsia="仿宋_GB2312" w:cs="仿宋_GB2312"/>
          <w:color w:val="auto"/>
          <w:sz w:val="32"/>
          <w:szCs w:val="32"/>
          <w:highlight w:val="none"/>
          <w:lang w:val="en-US" w:eastAsia="zh-CN"/>
        </w:rPr>
        <w:t>16.87</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是</w:t>
      </w:r>
      <w:r>
        <w:rPr>
          <w:rFonts w:hint="eastAsia" w:ascii="仿宋_GB2312" w:hAnsi="仿宋_GB2312" w:eastAsia="仿宋_GB2312" w:cs="仿宋_GB2312"/>
          <w:color w:val="auto"/>
          <w:sz w:val="32"/>
          <w:szCs w:val="32"/>
          <w:highlight w:val="none"/>
          <w:lang w:val="en-US" w:eastAsia="zh-Hans"/>
        </w:rPr>
        <w:t>各地市州到我校学习调研的情况增加</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接待费用增加</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eastAsia="仿宋_GB2312" w:cs="仿宋_GB2312"/>
          <w:b w:val="0"/>
          <w:bCs/>
          <w:i w:val="0"/>
          <w:iCs w:val="0"/>
          <w:color w:val="auto"/>
          <w:sz w:val="32"/>
          <w:szCs w:val="32"/>
          <w:highlight w:val="none"/>
          <w:lang w:val="en-US" w:eastAsia="zh-CN"/>
        </w:rPr>
        <w:t>0.97</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接待执行公务、教学开展、科研等业务活动发生的接待费用</w:t>
      </w:r>
      <w:r>
        <w:rPr>
          <w:rFonts w:hint="eastAsia" w:ascii="仿宋_GB2312" w:hAnsi="仿宋_GB2312" w:eastAsia="仿宋_GB2312" w:cs="仿宋_GB2312"/>
          <w:color w:val="auto"/>
          <w:sz w:val="32"/>
          <w:szCs w:val="32"/>
          <w:highlight w:val="none"/>
        </w:rPr>
        <w:t>。国内公务接待</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人次（不包括陪同人员</w:t>
      </w:r>
      <w:r>
        <w:rPr>
          <w:rFonts w:hint="eastAsia" w:ascii="仿宋_GB2312" w:hAnsi="仿宋_GB2312" w:eastAsia="仿宋_GB2312" w:cs="仿宋_GB2312"/>
          <w:color w:val="auto"/>
          <w:sz w:val="32"/>
          <w:szCs w:val="32"/>
          <w:highlight w:val="none"/>
          <w:lang w:val="en-US" w:eastAsia="zh-CN"/>
        </w:rPr>
        <w:t>65人</w:t>
      </w:r>
      <w:r>
        <w:rPr>
          <w:rFonts w:hint="eastAsia" w:ascii="仿宋_GB2312" w:hAnsi="仿宋_GB2312" w:eastAsia="仿宋_GB2312" w:cs="仿宋_GB2312"/>
          <w:color w:val="auto"/>
          <w:sz w:val="32"/>
          <w:szCs w:val="32"/>
          <w:highlight w:val="none"/>
        </w:rPr>
        <w:t>），共计支出</w:t>
      </w:r>
      <w:r>
        <w:rPr>
          <w:rFonts w:hint="eastAsia" w:ascii="仿宋_GB2312" w:hAnsi="仿宋_GB2312" w:eastAsia="仿宋_GB2312" w:cs="仿宋_GB2312"/>
          <w:color w:val="auto"/>
          <w:sz w:val="32"/>
          <w:szCs w:val="32"/>
          <w:highlight w:val="none"/>
          <w:lang w:val="en-US" w:eastAsia="zh-CN"/>
        </w:rPr>
        <w:t>0.97</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eastAsia="仿宋_GB2312" w:cs="仿宋_GB2312"/>
          <w:color w:val="auto"/>
          <w:sz w:val="32"/>
          <w:szCs w:val="32"/>
          <w:highlight w:val="none"/>
          <w:lang w:eastAsia="zh-CN"/>
        </w:rPr>
        <w:t>接待巴中、德阳、雅安、广安、乐山、南充、内江市委党校、青羊区区委党校到我校考察</w:t>
      </w:r>
      <w:r>
        <w:rPr>
          <w:rFonts w:hint="eastAsia" w:ascii="仿宋_GB2312" w:hAnsi="仿宋_GB2312" w:eastAsia="仿宋_GB2312" w:cs="仿宋_GB2312"/>
          <w:color w:val="auto"/>
          <w:sz w:val="32"/>
          <w:szCs w:val="32"/>
          <w:highlight w:val="none"/>
          <w:lang w:val="en-US" w:eastAsia="zh-CN"/>
        </w:rPr>
        <w:t>0.7334万元；接待省委党校在职研究生巡考、开学典礼以及省委党校莅遂开展科研协作工作0.2346万元；</w:t>
      </w:r>
      <w:r>
        <w:rPr>
          <w:rFonts w:hint="eastAsia" w:ascii="仿宋_GB2312" w:hAnsi="仿宋_GB2312" w:eastAsia="仿宋_GB2312" w:cs="仿宋_GB2312"/>
          <w:b/>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万元，外事接待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bookmarkStart w:id="46" w:name="_Toc15377218"/>
      <w:bookmarkStart w:id="47" w:name="_Toc15396610"/>
    </w:p>
    <w:p>
      <w:pPr>
        <w:spacing w:line="600" w:lineRule="exact"/>
        <w:ind w:firstLine="640"/>
        <w:outlineLvl w:val="1"/>
        <w:rPr>
          <w:rStyle w:val="31"/>
          <w:rFonts w:ascii="黑体" w:hAnsi="黑体" w:eastAsia="黑体"/>
          <w:color w:val="auto"/>
          <w:highlight w:val="none"/>
        </w:rPr>
      </w:pPr>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default"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万元。</w:t>
      </w:r>
    </w:p>
    <w:p>
      <w:pPr>
        <w:spacing w:line="600" w:lineRule="exact"/>
        <w:ind w:firstLine="640"/>
        <w:outlineLvl w:val="1"/>
        <w:rPr>
          <w:rFonts w:hint="eastAsia" w:ascii="黑体" w:eastAsia="黑体"/>
          <w:color w:val="auto"/>
          <w:sz w:val="32"/>
          <w:szCs w:val="32"/>
          <w:highlight w:val="none"/>
        </w:rPr>
      </w:pPr>
      <w:bookmarkStart w:id="48" w:name="_Toc15396611"/>
      <w:bookmarkStart w:id="49" w:name="_Toc15377219"/>
      <w:r>
        <w:rPr>
          <w:rFonts w:hint="eastAsia" w:ascii="黑体" w:eastAsia="黑体"/>
          <w:color w:val="auto"/>
          <w:sz w:val="32"/>
          <w:szCs w:val="32"/>
          <w:highlight w:val="none"/>
          <w:lang w:eastAsia="zh-CN"/>
        </w:rPr>
        <w:t>九、</w:t>
      </w:r>
      <w:r>
        <w:rPr>
          <w:rFonts w:hint="eastAsia" w:ascii="黑体" w:eastAsia="黑体"/>
          <w:color w:val="auto"/>
          <w:sz w:val="32"/>
          <w:szCs w:val="32"/>
          <w:highlight w:val="none"/>
        </w:rPr>
        <w:t>国有资本经营预算支出决算情况说明</w:t>
      </w:r>
      <w:bookmarkEnd w:id="48"/>
      <w:bookmarkEnd w:id="49"/>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outlineLvl w:val="1"/>
        <w:rPr>
          <w:rFonts w:hint="eastAsia" w:ascii="黑体" w:eastAsia="黑体"/>
          <w:color w:val="auto"/>
          <w:sz w:val="32"/>
          <w:szCs w:val="32"/>
          <w:highlight w:val="none"/>
        </w:rPr>
      </w:pPr>
      <w:bookmarkStart w:id="50" w:name="_Toc15396612"/>
      <w:bookmarkStart w:id="51" w:name="_Toc15377221"/>
      <w:r>
        <w:rPr>
          <w:rFonts w:hint="eastAsia" w:ascii="黑体" w:eastAsia="黑体"/>
          <w:color w:val="auto"/>
          <w:sz w:val="32"/>
          <w:szCs w:val="32"/>
          <w:highlight w:val="none"/>
          <w:lang w:eastAsia="zh-CN"/>
        </w:rPr>
        <w:t>十、</w:t>
      </w:r>
      <w:r>
        <w:rPr>
          <w:rFonts w:hint="eastAsia" w:ascii="黑体" w:eastAsia="黑体"/>
          <w:color w:val="auto"/>
          <w:sz w:val="32"/>
          <w:szCs w:val="32"/>
          <w:highlight w:val="none"/>
        </w:rPr>
        <w:t>其他重要事项的情况说明</w:t>
      </w:r>
      <w:bookmarkEnd w:id="50"/>
      <w:bookmarkEnd w:id="51"/>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方正楷体_GBK" w:hAnsi="方正楷体_GBK" w:eastAsia="方正楷体_GBK" w:cs="方正楷体_GBK"/>
          <w:b/>
          <w:color w:val="auto"/>
          <w:sz w:val="32"/>
          <w:szCs w:val="32"/>
          <w:highlight w:val="none"/>
        </w:rPr>
      </w:pPr>
      <w:bookmarkStart w:id="52" w:name="_Toc15377222"/>
      <w:r>
        <w:rPr>
          <w:rFonts w:hint="eastAsia" w:ascii="方正楷体_GBK" w:hAnsi="方正楷体_GBK" w:eastAsia="方正楷体_GBK" w:cs="方正楷体_GBK"/>
          <w:b/>
          <w:color w:val="auto"/>
          <w:sz w:val="32"/>
          <w:szCs w:val="32"/>
          <w:highlight w:val="none"/>
        </w:rPr>
        <w:t>（一）机关运行经费支出情况</w:t>
      </w:r>
      <w:bookmarkEnd w:id="52"/>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中共遂宁市委党校（遂宁行政学院）</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eastAsia="仿宋_GB2312" w:cs="仿宋_GB2312"/>
          <w:color w:val="auto"/>
          <w:sz w:val="32"/>
          <w:szCs w:val="32"/>
          <w:highlight w:val="none"/>
          <w:lang w:val="en-US" w:eastAsia="zh-CN"/>
        </w:rPr>
        <w:t>226.13万元，</w:t>
      </w:r>
      <w:r>
        <w:rPr>
          <w:rFonts w:hint="eastAsia" w:ascii="仿宋_GB2312" w:hAnsi="仿宋_GB2312" w:eastAsia="仿宋_GB2312" w:cs="仿宋_GB2312"/>
          <w:color w:val="auto"/>
          <w:sz w:val="32"/>
          <w:szCs w:val="32"/>
          <w:highlight w:val="none"/>
        </w:rPr>
        <w:t>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51.51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18.55</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eastAsia="zh-CN"/>
        </w:rPr>
        <w:t>厉行节约，</w:t>
      </w:r>
      <w:r>
        <w:rPr>
          <w:rFonts w:hint="eastAsia" w:ascii="仿宋_GB2312" w:hAnsi="仿宋_GB2312" w:eastAsia="仿宋_GB2312" w:cs="仿宋_GB2312"/>
          <w:color w:val="auto"/>
          <w:sz w:val="32"/>
          <w:szCs w:val="32"/>
          <w:highlight w:val="none"/>
          <w:lang w:val="en-US" w:eastAsia="zh-CN"/>
        </w:rPr>
        <w:t>2023年物业管理费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培训费均有减少。</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方正楷体_GBK" w:hAnsi="方正楷体_GBK" w:eastAsia="方正楷体_GBK" w:cs="方正楷体_GBK"/>
          <w:b/>
          <w:color w:val="auto"/>
          <w:sz w:val="32"/>
          <w:szCs w:val="32"/>
          <w:highlight w:val="none"/>
        </w:rPr>
      </w:pPr>
      <w:bookmarkStart w:id="53" w:name="_Toc15377223"/>
      <w:r>
        <w:rPr>
          <w:rFonts w:hint="eastAsia" w:ascii="方正楷体_GBK" w:hAnsi="方正楷体_GBK" w:eastAsia="方正楷体_GBK" w:cs="方正楷体_GBK"/>
          <w:b/>
          <w:color w:val="auto"/>
          <w:sz w:val="32"/>
          <w:szCs w:val="32"/>
          <w:highlight w:val="none"/>
        </w:rPr>
        <w:t>（二）政府采购支出情况</w:t>
      </w:r>
      <w:bookmarkEnd w:id="53"/>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中共遂宁市委党校（遂宁行政学院）</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eastAsia="仿宋_GB2312" w:cs="仿宋_GB2312"/>
          <w:color w:val="auto"/>
          <w:sz w:val="32"/>
          <w:szCs w:val="32"/>
          <w:highlight w:val="none"/>
          <w:lang w:eastAsia="zh-CN"/>
        </w:rPr>
        <w:t>30</w:t>
      </w:r>
      <w:r>
        <w:rPr>
          <w:rFonts w:hint="eastAsia" w:ascii="仿宋_GB2312" w:hAnsi="仿宋_GB2312" w:eastAsia="仿宋_GB2312" w:cs="仿宋_GB2312"/>
          <w:color w:val="auto"/>
          <w:sz w:val="32"/>
          <w:szCs w:val="32"/>
          <w:highlight w:val="none"/>
          <w:lang w:val="en-US" w:eastAsia="zh-CN"/>
        </w:rPr>
        <w:t>78.15</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val="en-US" w:eastAsia="zh-Hans"/>
        </w:rPr>
        <w:t>兴学商务中心租赁项目</w:t>
      </w:r>
      <w:r>
        <w:rPr>
          <w:rFonts w:hint="eastAsia" w:ascii="仿宋_GB2312" w:hAnsi="仿宋_GB2312" w:eastAsia="仿宋_GB2312" w:cs="仿宋_GB2312"/>
          <w:color w:val="auto"/>
          <w:sz w:val="32"/>
          <w:szCs w:val="32"/>
          <w:highlight w:val="none"/>
        </w:rPr>
        <w:t>政府采购服务支出</w:t>
      </w:r>
      <w:r>
        <w:rPr>
          <w:rFonts w:hint="eastAsia" w:ascii="仿宋_GB2312" w:hAnsi="仿宋_GB2312" w:eastAsia="仿宋_GB2312" w:cs="仿宋_GB2312"/>
          <w:color w:val="auto"/>
          <w:sz w:val="32"/>
          <w:szCs w:val="32"/>
          <w:highlight w:val="none"/>
          <w:lang w:eastAsia="zh-CN"/>
        </w:rPr>
        <w:t>3065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、校（院）汽车租赁服务项目支出</w:t>
      </w:r>
      <w:r>
        <w:rPr>
          <w:rFonts w:hint="eastAsia" w:ascii="仿宋_GB2312" w:hAnsi="仿宋_GB2312" w:eastAsia="仿宋_GB2312" w:cs="仿宋_GB2312"/>
          <w:color w:val="auto"/>
          <w:sz w:val="32"/>
          <w:szCs w:val="32"/>
          <w:highlight w:val="none"/>
          <w:lang w:val="en-US" w:eastAsia="zh-CN"/>
        </w:rPr>
        <w:t>13.15万元</w:t>
      </w:r>
      <w:r>
        <w:rPr>
          <w:rFonts w:hint="eastAsia" w:ascii="仿宋_GB2312" w:hAnsi="仿宋_GB2312" w:eastAsia="仿宋_GB2312" w:cs="仿宋_GB2312"/>
          <w:color w:val="auto"/>
          <w:sz w:val="32"/>
          <w:szCs w:val="32"/>
          <w:highlight w:val="none"/>
        </w:rPr>
        <w:t>。授予中小企业合同金额0万元，其中：授予小微企业合同金额0万元。</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方正楷体_GBK" w:hAnsi="方正楷体_GBK" w:eastAsia="方正楷体_GBK" w:cs="方正楷体_GBK"/>
          <w:b/>
          <w:color w:val="auto"/>
          <w:sz w:val="32"/>
          <w:szCs w:val="32"/>
          <w:highlight w:val="none"/>
        </w:rPr>
      </w:pPr>
      <w:bookmarkStart w:id="54" w:name="_Toc15377224"/>
      <w:r>
        <w:rPr>
          <w:rFonts w:hint="eastAsia" w:ascii="方正楷体_GBK" w:hAnsi="方正楷体_GBK" w:eastAsia="方正楷体_GBK" w:cs="方正楷体_GBK"/>
          <w:b/>
          <w:color w:val="auto"/>
          <w:sz w:val="32"/>
          <w:szCs w:val="32"/>
          <w:highlight w:val="none"/>
        </w:rPr>
        <w:t>（三）国有资产占有使用情况</w:t>
      </w:r>
      <w:bookmarkEnd w:id="54"/>
    </w:p>
    <w:p>
      <w:pPr>
        <w:autoSpaceDE w:val="0"/>
        <w:autoSpaceDN w:val="0"/>
        <w:adjustRightInd w:val="0"/>
        <w:spacing w:line="600" w:lineRule="exact"/>
        <w:ind w:firstLine="632"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auto"/>
          <w:sz w:val="32"/>
          <w:szCs w:val="32"/>
          <w:highlight w:val="none"/>
          <w:lang w:val="en-US" w:eastAsia="zh-CN"/>
        </w:rPr>
        <w:t>中共遂宁市委党校（遂宁行政学院）</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辆，其中：应急保障用车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“校（院）汽车租赁服务”“专项科研经费补助”“兴学商务中心租赁费”“关心下一代项目”“电信网络服务”、“区县统筹办班”以及“人员类”、“运转类”等</w:t>
      </w:r>
      <w:r>
        <w:rPr>
          <w:rFonts w:hint="eastAsia" w:ascii="仿宋_GB2312" w:hAnsi="仿宋_GB2312" w:eastAsia="仿宋_GB2312" w:cs="仿宋_GB2312"/>
          <w:color w:val="auto"/>
          <w:sz w:val="32"/>
          <w:szCs w:val="32"/>
          <w:highlight w:val="none"/>
          <w:lang w:val="en-US" w:eastAsia="zh-CN"/>
        </w:rPr>
        <w:t>60个</w:t>
      </w:r>
      <w:r>
        <w:rPr>
          <w:rFonts w:hint="eastAsia" w:ascii="仿宋_GB2312" w:hAnsi="仿宋_GB2312" w:eastAsia="仿宋_GB2312" w:cs="仿宋_GB2312"/>
          <w:color w:val="auto"/>
          <w:sz w:val="32"/>
          <w:szCs w:val="32"/>
          <w:highlight w:val="none"/>
        </w:rPr>
        <w:t>项目编制了绩效目标，预算执行过程中，选取</w:t>
      </w:r>
      <w:r>
        <w:rPr>
          <w:rFonts w:hint="default" w:ascii="仿宋_GB2312" w:hAnsi="仿宋_GB2312" w:eastAsia="仿宋_GB2312" w:cs="仿宋_GB2312"/>
          <w:color w:val="auto"/>
          <w:sz w:val="32"/>
          <w:szCs w:val="32"/>
          <w:highlight w:val="none"/>
          <w:lang w:val="en"/>
        </w:rPr>
        <w:t>8</w:t>
      </w:r>
      <w:r>
        <w:rPr>
          <w:rFonts w:hint="eastAsia" w:ascii="仿宋_GB2312" w:hAnsi="仿宋_GB2312" w:eastAsia="仿宋_GB2312" w:cs="仿宋_GB2312"/>
          <w:color w:val="auto"/>
          <w:sz w:val="32"/>
          <w:szCs w:val="32"/>
          <w:highlight w:val="none"/>
        </w:rPr>
        <w:t>个项目开展绩效监控，年终执行完毕后，组织对202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年度一般公共预算全面开展绩效自评形成</w:t>
      </w:r>
      <w:r>
        <w:rPr>
          <w:rFonts w:hint="eastAsia" w:ascii="仿宋" w:hAnsi="仿宋" w:eastAsia="仿宋"/>
          <w:color w:val="auto"/>
          <w:sz w:val="32"/>
          <w:szCs w:val="32"/>
          <w:highlight w:val="none"/>
          <w:lang w:val="en-US" w:eastAsia="zh-CN"/>
        </w:rPr>
        <w:t>中共遂宁市委党校（遂宁行政学院）</w:t>
      </w:r>
      <w:r>
        <w:rPr>
          <w:rFonts w:hint="eastAsia" w:ascii="仿宋_GB2312" w:hAnsi="仿宋_GB2312" w:eastAsia="仿宋_GB2312" w:cs="仿宋_GB2312"/>
          <w:color w:val="auto"/>
          <w:sz w:val="32"/>
          <w:szCs w:val="32"/>
          <w:highlight w:val="none"/>
          <w:lang w:val="en-US" w:eastAsia="zh-CN"/>
        </w:rPr>
        <w:t>2023年度整体</w:t>
      </w:r>
      <w:r>
        <w:rPr>
          <w:rFonts w:hint="eastAsia" w:ascii="仿宋_GB2312" w:hAnsi="仿宋_GB2312" w:eastAsia="仿宋_GB2312" w:cs="仿宋_GB2312"/>
          <w:color w:val="auto"/>
          <w:sz w:val="32"/>
          <w:szCs w:val="32"/>
          <w:highlight w:val="none"/>
        </w:rPr>
        <w:t>（含部门预算项目）绩效自评报告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81.88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绩效自评综述：结合我校实际情况，填写《2023年市级部门整体支出绩效评价指标系》表，根据《2023年市级部门整体支出绩效评价指标体系》评分，综合得分81.88分（总分90分），</w:t>
      </w:r>
      <w:r>
        <w:rPr>
          <w:rFonts w:hint="eastAsia" w:ascii="仿宋_GB2312" w:hAnsi="仿宋_GB2312" w:eastAsia="仿宋_GB2312" w:cs="仿宋_GB2312"/>
          <w:sz w:val="32"/>
          <w:szCs w:val="32"/>
          <w:highlight w:val="none"/>
          <w:lang w:val="zh-CN"/>
        </w:rPr>
        <w:t>一是存在两个预算项目资金结余率大</w:t>
      </w:r>
      <w:r>
        <w:rPr>
          <w:rFonts w:hint="eastAsia" w:ascii="仿宋_GB2312" w:hAnsi="仿宋_GB2312" w:eastAsia="仿宋_GB2312" w:cs="仿宋_GB2312"/>
          <w:sz w:val="32"/>
          <w:szCs w:val="32"/>
          <w:highlight w:val="none"/>
          <w:lang w:val="en-US" w:eastAsia="zh-CN"/>
        </w:rPr>
        <w:t>（汽车租赁服务项目为我校第一次编制，由于前期工作开展进度较慢，招标结果比预期晚，导致预算执行进度低）；二是预算资金序时进度低，1-9月序时进度为20%</w:t>
      </w:r>
      <w:r>
        <w:rPr>
          <w:rFonts w:hint="eastAsia" w:ascii="仿宋_GB2312" w:hAnsi="仿宋_GB2312" w:eastAsia="仿宋_GB2312" w:cs="仿宋_GB2312"/>
          <w:color w:val="auto"/>
          <w:sz w:val="32"/>
          <w:szCs w:val="32"/>
          <w:highlight w:val="none"/>
          <w:lang w:val="en-US" w:eastAsia="zh-CN"/>
        </w:rPr>
        <w:t>（其中：市兴学商务中心租赁项目3065万元，按照合同应年底支付）</w:t>
      </w:r>
      <w:r>
        <w:rPr>
          <w:rFonts w:hint="eastAsia" w:ascii="仿宋_GB2312" w:hAnsi="仿宋_GB2312" w:eastAsia="仿宋_GB2312" w:cs="仿宋_GB2312"/>
          <w:color w:val="auto"/>
          <w:sz w:val="32"/>
          <w:szCs w:val="32"/>
          <w:highlight w:val="none"/>
          <w:lang w:eastAsia="zh-CN"/>
        </w:rPr>
        <w:t>。</w:t>
      </w:r>
    </w:p>
    <w:p>
      <w:pPr>
        <w:pStyle w:val="8"/>
        <w:rPr>
          <w:rFonts w:hint="eastAsia" w:ascii="仿宋_GB2312" w:hAnsi="仿宋_GB2312" w:eastAsia="仿宋_GB2312" w:cs="仿宋_GB2312"/>
          <w:color w:val="auto"/>
          <w:sz w:val="32"/>
          <w:szCs w:val="32"/>
          <w:highlight w:val="none"/>
          <w:lang w:eastAsia="zh-CN"/>
        </w:rPr>
      </w:pPr>
    </w:p>
    <w:p>
      <w:pPr>
        <w:pStyle w:val="8"/>
        <w:rPr>
          <w:rFonts w:hint="eastAsia" w:ascii="仿宋_GB2312" w:hAnsi="仿宋_GB2312" w:eastAsia="仿宋_GB2312" w:cs="仿宋_GB2312"/>
          <w:color w:val="auto"/>
          <w:sz w:val="32"/>
          <w:szCs w:val="32"/>
          <w:highlight w:val="none"/>
          <w:lang w:eastAsia="zh-CN"/>
        </w:rPr>
      </w:pPr>
    </w:p>
    <w:p>
      <w:pPr>
        <w:pStyle w:val="8"/>
        <w:rPr>
          <w:rFonts w:hint="eastAsia" w:ascii="仿宋_GB2312" w:hAnsi="仿宋_GB2312" w:eastAsia="仿宋_GB2312" w:cs="仿宋_GB2312"/>
          <w:color w:val="auto"/>
          <w:sz w:val="32"/>
          <w:szCs w:val="32"/>
          <w:highlight w:val="none"/>
          <w:lang w:eastAsia="zh-CN"/>
        </w:rPr>
      </w:pPr>
    </w:p>
    <w:p>
      <w:pPr>
        <w:pStyle w:val="8"/>
        <w:rPr>
          <w:rFonts w:hint="eastAsia" w:ascii="仿宋_GB2312" w:hAnsi="仿宋_GB2312" w:eastAsia="仿宋_GB2312" w:cs="仿宋_GB2312"/>
          <w:color w:val="auto"/>
          <w:sz w:val="32"/>
          <w:szCs w:val="32"/>
          <w:highlight w:val="none"/>
          <w:lang w:eastAsia="zh-CN"/>
        </w:rPr>
      </w:pPr>
    </w:p>
    <w:p>
      <w:pPr>
        <w:pStyle w:val="8"/>
        <w:rPr>
          <w:rFonts w:hint="eastAsia" w:ascii="仿宋_GB2312" w:hAnsi="仿宋_GB2312" w:eastAsia="仿宋_GB2312" w:cs="仿宋_GB2312"/>
          <w:color w:val="auto"/>
          <w:sz w:val="32"/>
          <w:szCs w:val="32"/>
          <w:highlight w:val="none"/>
          <w:lang w:eastAsia="zh-CN"/>
        </w:rPr>
      </w:pPr>
    </w:p>
    <w:p>
      <w:pPr>
        <w:pStyle w:val="8"/>
        <w:rPr>
          <w:rFonts w:hint="eastAsia"/>
          <w:lang w:val="en-US" w:eastAsia="zh-CN"/>
        </w:rPr>
      </w:pPr>
    </w:p>
    <w:p>
      <w:pPr>
        <w:pStyle w:val="8"/>
        <w:rPr>
          <w:rFonts w:hint="eastAsia"/>
          <w:lang w:val="en-US" w:eastAsia="zh-CN"/>
        </w:rPr>
      </w:pPr>
    </w:p>
    <w:p>
      <w:pPr>
        <w:numPr>
          <w:ilvl w:val="0"/>
          <w:numId w:val="1"/>
        </w:numPr>
        <w:spacing w:line="600" w:lineRule="exact"/>
        <w:ind w:firstLine="654" w:firstLineChars="150"/>
        <w:jc w:val="center"/>
        <w:outlineLvl w:val="0"/>
        <w:rPr>
          <w:rStyle w:val="30"/>
          <w:rFonts w:hint="eastAsia" w:ascii="方正小标宋简体" w:hAnsi="方正小标宋简体" w:eastAsia="方正小标宋简体" w:cs="方正小标宋简体"/>
          <w:b w:val="0"/>
          <w:color w:val="auto"/>
          <w:highlight w:val="none"/>
        </w:rPr>
      </w:pPr>
      <w:bookmarkStart w:id="55" w:name="_Toc15377225"/>
      <w:bookmarkStart w:id="56" w:name="_Toc15396613"/>
      <w:r>
        <w:rPr>
          <w:rFonts w:hint="eastAsia" w:ascii="方正小标宋简体" w:hAnsi="方正小标宋简体" w:eastAsia="方正小标宋简体" w:cs="方正小标宋简体"/>
          <w:color w:val="auto"/>
          <w:sz w:val="44"/>
          <w:szCs w:val="44"/>
          <w:highlight w:val="none"/>
        </w:rPr>
        <w:t>名</w:t>
      </w:r>
      <w:r>
        <w:rPr>
          <w:rStyle w:val="30"/>
          <w:rFonts w:hint="eastAsia" w:ascii="方正小标宋简体" w:hAnsi="方正小标宋简体" w:eastAsia="方正小标宋简体" w:cs="方正小标宋简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1.一般公共预算财政拨款收入：指单位从同级财政部门取得的财政预算资金。</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2.事业收入：指事业单位开展专业业务活动及辅助活动取得的收入。如本单位的在职研究生学费收入、从市委组织部取得的干部教育培训费等。</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3.经营收入：指事业单位在专业业务活动及其辅助活动之外开展非独立核算经营活动取得的收入。</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4.其他收入：指单位取得的除上述收入以外的各项收入。主要是人社局转入高层次人才专项经费、市社科联转入干部理论社科普及基地补助、省委党校转入重大项目研究经费、省委党校转入优先结项奖励经费省委党校转入优先结项奖励经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5.教育（类）进修及培训（款）干部教育（项）：指各级党校、行政学院、社会主义学院、国家会计学院的支出。包括机构运转、招聘师资、举办各办培训班的支出等。</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6.社会保障和就业（类）行政事业单位养老（款）行政单位离退休（项）：指行政单位（包括实行公务员管理的事业单位）开支的离退休经费。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7.社会保障和就业（类）行政事业单位养老（款）机关事业单位基本养老保险缴费支出（项）：机关事业单位实施养老保险制度由单位缴纳的基本养老保险费支出。</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8.社会保障和就业（类）行政事业单位养老（款）事业单位离退休（项）：反映事业单位开支的离退休经费。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9.社会保障和就业（类）抚恤（款）死亡抚恤（项）：反映按规定用于烈士和牺牲、病故人员家属的一次性和定期抚恤金以及丧葬补助费。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10.卫生健康（类）行政事业单位医疗（款）行政单位医疗（项）：指财政部门安排的行政单位（包括实行公务员管理的事业单位，下同）基本医疗保险缴费经费，未参加医疗保险的行政单位公费医疗经费，按国家规定享受离休人员、红军老战士待遇人员的医疗经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11.卫生健康（类）行政事业单位医疗（款）事业单位医疗（项）：指财政部门安排的事业单位基本医疗保险缴费经费，未参加医疗保险的事业单位公费医疗经费，按国家规定享受离休人员待遇人员的医疗经费。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12.住房保障（类）住房改革支出（款）住房公积金（项）：指行政事业单位按人力资源和社会保障部、财政部规定的基本工资和津贴补贴以及规定比例为职工缴纳的住房公积金。</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13.基本支出：指为保障机构正常运转、完成日常工作任务而发生的人员支出和公用支出。</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14.项目支出：指在基本支出之外为完成特定行政任务和事业发展目标所发生的支出。</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widowControl w:val="0"/>
        <w:numPr>
          <w:ilvl w:val="0"/>
          <w:numId w:val="0"/>
        </w:numPr>
        <w:spacing w:line="560" w:lineRule="exact"/>
        <w:jc w:val="both"/>
      </w:pPr>
    </w:p>
    <w:p/>
    <w:p>
      <w:pPr>
        <w:spacing w:line="600" w:lineRule="exact"/>
        <w:jc w:val="center"/>
        <w:outlineLvl w:val="0"/>
        <w:rPr>
          <w:rStyle w:val="30"/>
          <w:rFonts w:hint="eastAsia" w:ascii="方正小标宋简体" w:hAnsi="方正小标宋简体" w:eastAsia="方正小标宋简体" w:cs="方正小标宋简体"/>
          <w:b w:val="0"/>
          <w:color w:val="auto"/>
          <w:highlight w:val="none"/>
          <w:lang w:eastAsia="zh-CN"/>
        </w:rPr>
      </w:pPr>
      <w:bookmarkStart w:id="57" w:name="_Toc15396614"/>
      <w:bookmarkStart w:id="58" w:name="_Toc15377226"/>
      <w:r>
        <w:rPr>
          <w:rFonts w:hint="eastAsia" w:ascii="方正小标宋简体" w:hAnsi="方正小标宋简体" w:eastAsia="方正小标宋简体" w:cs="方正小标宋简体"/>
          <w:color w:val="auto"/>
          <w:sz w:val="44"/>
          <w:szCs w:val="44"/>
          <w:highlight w:val="none"/>
        </w:rPr>
        <w:t>第</w:t>
      </w:r>
      <w:r>
        <w:rPr>
          <w:rStyle w:val="30"/>
          <w:rFonts w:hint="eastAsia" w:ascii="方正小标宋简体" w:hAnsi="方正小标宋简体" w:eastAsia="方正小标宋简体" w:cs="方正小标宋简体"/>
          <w:b w:val="0"/>
          <w:color w:val="auto"/>
          <w:highlight w:val="none"/>
        </w:rPr>
        <w:t>四部分 附件</w:t>
      </w:r>
      <w:bookmarkEnd w:id="57"/>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lang w:val="en-US" w:eastAsia="zh-CN"/>
        </w:rPr>
        <w:t>中共遂宁市委党校（遂宁行政学院）</w:t>
      </w: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lang w:eastAsia="zh-CN"/>
        </w:rPr>
        <w:t>关于</w:t>
      </w:r>
      <w:r>
        <w:rPr>
          <w:rFonts w:hint="eastAsia" w:ascii="方正小标宋简体" w:hAnsi="方正小标宋简体" w:eastAsia="方正小标宋简体" w:cs="方正小标宋简体"/>
          <w:sz w:val="44"/>
          <w:szCs w:val="44"/>
          <w:shd w:val="clear" w:color="auto" w:fill="FFFFFF"/>
        </w:rPr>
        <w:t>202</w:t>
      </w:r>
      <w:r>
        <w:rPr>
          <w:rFonts w:hint="eastAsia" w:ascii="方正小标宋简体" w:hAnsi="方正小标宋简体" w:eastAsia="方正小标宋简体" w:cs="方正小标宋简体"/>
          <w:sz w:val="44"/>
          <w:szCs w:val="44"/>
          <w:shd w:val="clear" w:color="auto" w:fill="FFFFFF"/>
          <w:lang w:val="en-US" w:eastAsia="zh-CN"/>
        </w:rPr>
        <w:t>3</w:t>
      </w:r>
      <w:r>
        <w:rPr>
          <w:rFonts w:hint="eastAsia" w:ascii="方正小标宋简体" w:hAnsi="方正小标宋简体" w:eastAsia="方正小标宋简体" w:cs="方正小标宋简体"/>
          <w:sz w:val="44"/>
          <w:szCs w:val="44"/>
          <w:shd w:val="clear" w:color="auto" w:fill="FFFFFF"/>
        </w:rPr>
        <w:t>年</w:t>
      </w:r>
      <w:r>
        <w:rPr>
          <w:rFonts w:hint="eastAsia" w:ascii="方正小标宋简体" w:hAnsi="方正小标宋简体" w:eastAsia="方正小标宋简体" w:cs="方正小标宋简体"/>
          <w:sz w:val="44"/>
          <w:szCs w:val="44"/>
          <w:shd w:val="clear" w:color="auto" w:fill="FFFFFF"/>
          <w:lang w:eastAsia="zh-CN"/>
        </w:rPr>
        <w:t>度</w:t>
      </w:r>
      <w:r>
        <w:rPr>
          <w:rFonts w:hint="eastAsia" w:ascii="方正小标宋简体" w:hAnsi="方正小标宋简体" w:eastAsia="方正小标宋简体" w:cs="方正小标宋简体"/>
          <w:sz w:val="44"/>
          <w:szCs w:val="44"/>
          <w:shd w:val="clear" w:color="auto" w:fill="FFFFFF"/>
        </w:rPr>
        <w:t>整体支出绩效自评</w:t>
      </w:r>
      <w:r>
        <w:rPr>
          <w:rFonts w:hint="eastAsia" w:ascii="方正小标宋简体" w:hAnsi="方正小标宋简体" w:eastAsia="方正小标宋简体" w:cs="方正小标宋简体"/>
          <w:sz w:val="44"/>
          <w:szCs w:val="44"/>
          <w:shd w:val="clear" w:color="auto" w:fill="FFFFFF"/>
          <w:lang w:eastAsia="zh-CN"/>
        </w:rPr>
        <w:t>情况的</w:t>
      </w:r>
      <w:r>
        <w:rPr>
          <w:rFonts w:hint="eastAsia" w:ascii="方正小标宋简体" w:hAnsi="方正小标宋简体" w:eastAsia="方正小标宋简体" w:cs="方正小标宋简体"/>
          <w:sz w:val="44"/>
          <w:szCs w:val="44"/>
          <w:shd w:val="clear" w:color="auto" w:fill="FFFFFF"/>
        </w:rPr>
        <w:t>报告</w:t>
      </w:r>
    </w:p>
    <w:p>
      <w:pPr>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我校</w:t>
      </w:r>
      <w:r>
        <w:rPr>
          <w:rFonts w:hint="eastAsia" w:ascii="仿宋_GB2312" w:hAnsi="仿宋_GB2312" w:eastAsia="仿宋_GB2312" w:cs="仿宋_GB2312"/>
          <w:color w:val="000000"/>
          <w:sz w:val="32"/>
          <w:szCs w:val="32"/>
          <w:lang w:eastAsia="zh-CN"/>
        </w:rPr>
        <w:t>高度重视支出绩效自评工作，严格按照《</w:t>
      </w:r>
      <w:r>
        <w:rPr>
          <w:rFonts w:hint="eastAsia" w:ascii="仿宋_GB2312" w:hAnsi="仿宋_GB2312" w:eastAsia="仿宋_GB2312" w:cs="仿宋_GB2312"/>
          <w:color w:val="000000"/>
          <w:sz w:val="32"/>
          <w:szCs w:val="32"/>
        </w:rPr>
        <w:t>关于开展2024年部门、项目、政策支出绩效自评工作的通知</w:t>
      </w:r>
      <w:r>
        <w:rPr>
          <w:rFonts w:hint="eastAsia" w:ascii="仿宋_GB2312" w:hAnsi="仿宋_GB2312" w:eastAsia="仿宋_GB2312" w:cs="仿宋_GB2312"/>
          <w:color w:val="000000"/>
          <w:sz w:val="32"/>
          <w:szCs w:val="32"/>
          <w:lang w:eastAsia="zh-CN"/>
        </w:rPr>
        <w:t>》（遂财绩</w:t>
      </w:r>
      <w:r>
        <w:rPr>
          <w:rFonts w:hint="eastAsia" w:ascii="仿宋_GB2312" w:hAnsi="仿宋_GB2312" w:eastAsia="仿宋_GB2312" w:cs="仿宋_GB2312"/>
          <w:color w:val="000000"/>
          <w:sz w:val="32"/>
          <w:szCs w:val="32"/>
          <w:lang w:val="en-US" w:eastAsia="zh-CN"/>
        </w:rPr>
        <w:t>〔2024〕3号</w:t>
      </w:r>
      <w:r>
        <w:rPr>
          <w:rFonts w:hint="eastAsia" w:ascii="仿宋_GB2312" w:hAnsi="仿宋_GB2312" w:eastAsia="仿宋_GB2312" w:cs="仿宋_GB2312"/>
          <w:color w:val="000000"/>
          <w:sz w:val="32"/>
          <w:szCs w:val="32"/>
          <w:lang w:eastAsia="zh-CN"/>
        </w:rPr>
        <w:t>）要求，常务副校（院）长亲自安排、亲自部署、亲自推动，分管校（院）领导主动作为、牵头抓总，责任科室积极履职、务实查摆、认真自评，较好地完成了相关工作任务。</w:t>
      </w: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情况汇报如下</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（一）机构组成</w:t>
      </w:r>
    </w:p>
    <w:p>
      <w:pPr>
        <w:keepNext w:val="0"/>
        <w:keepLines w:val="0"/>
        <w:pageBreakBefore w:val="0"/>
        <w:kinsoku/>
        <w:wordWrap/>
        <w:overflowPunct/>
        <w:topLinePunct w:val="0"/>
        <w:autoSpaceDE/>
        <w:autoSpaceDN/>
        <w:bidi w:val="0"/>
        <w:spacing w:line="576"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目前，</w:t>
      </w:r>
      <w:r>
        <w:rPr>
          <w:rFonts w:hint="eastAsia" w:ascii="仿宋_GB2312" w:hAnsi="仿宋_GB2312" w:eastAsia="仿宋_GB2312" w:cs="仿宋_GB2312"/>
          <w:color w:val="auto"/>
          <w:sz w:val="32"/>
          <w:szCs w:val="32"/>
          <w:highlight w:val="none"/>
          <w:lang w:val="en-US" w:eastAsia="zh-CN"/>
        </w:rPr>
        <w:t>中共遂宁市委党校（遂宁行政学院）</w:t>
      </w:r>
      <w:r>
        <w:rPr>
          <w:rFonts w:hint="eastAsia" w:ascii="仿宋_GB2312" w:hAnsi="仿宋_GB2312" w:eastAsia="仿宋_GB2312" w:cs="仿宋_GB2312"/>
          <w:color w:val="000000"/>
          <w:sz w:val="32"/>
          <w:szCs w:val="32"/>
        </w:rPr>
        <w:t>共有12 个内设科室（中心）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相比</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无变化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highlight w:val="none"/>
          <w:lang w:val="en-US" w:eastAsia="zh-CN"/>
        </w:rPr>
        <w:t>中共遂宁市委党校（遂宁行政学院）</w:t>
      </w:r>
      <w:r>
        <w:rPr>
          <w:rFonts w:hint="eastAsia" w:ascii="仿宋_GB2312" w:hAnsi="仿宋_GB2312" w:eastAsia="仿宋_GB2312" w:cs="仿宋_GB2312"/>
          <w:color w:val="000000"/>
          <w:sz w:val="32"/>
          <w:szCs w:val="32"/>
        </w:rPr>
        <w:t>下属二级单位0个，其中行政单位0个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参照公务员法管理的事业单位0个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其他事业单位0个。纳入</w:t>
      </w:r>
      <w:r>
        <w:rPr>
          <w:rFonts w:hint="eastAsia" w:ascii="仿宋_GB2312" w:hAnsi="仿宋_GB2312" w:eastAsia="仿宋_GB2312" w:cs="仿宋_GB2312"/>
          <w:color w:val="auto"/>
          <w:sz w:val="32"/>
          <w:szCs w:val="32"/>
          <w:highlight w:val="none"/>
          <w:lang w:val="en-US" w:eastAsia="zh-CN"/>
        </w:rPr>
        <w:t>中共遂宁市委党校（遂宁行政学院）</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年度部门决算编制范围的二级预算单位0个。</w:t>
      </w: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仿宋_GB2312" w:hAnsi="仿宋_GB2312" w:eastAsia="仿宋_GB2312" w:cs="仿宋_GB2312"/>
          <w:color w:val="000000"/>
          <w:sz w:val="32"/>
          <w:szCs w:val="32"/>
          <w:highlight w:val="none"/>
        </w:rPr>
      </w:pPr>
      <w:bookmarkStart w:id="74" w:name="_GoBack"/>
      <w:r>
        <w:rPr>
          <w:rFonts w:hint="eastAsia" w:ascii="仿宋_GB2312" w:hAnsi="仿宋_GB2312" w:eastAsia="仿宋_GB2312" w:cs="仿宋_GB2312"/>
          <w:color w:val="auto"/>
          <w:sz w:val="32"/>
          <w:szCs w:val="32"/>
          <w:highlight w:val="none"/>
          <w:lang w:val="en-US" w:eastAsia="zh-CN"/>
        </w:rPr>
        <w:t>中共遂宁市委党校（遂宁行政学院）</w:t>
      </w:r>
      <w:bookmarkEnd w:id="74"/>
      <w:r>
        <w:rPr>
          <w:rFonts w:hint="eastAsia" w:ascii="仿宋_GB2312" w:hAnsi="仿宋_GB2312" w:eastAsia="仿宋_GB2312" w:cs="仿宋_GB2312"/>
          <w:color w:val="000000"/>
          <w:sz w:val="32"/>
          <w:szCs w:val="32"/>
        </w:rPr>
        <w:t>党领导的培养党的领导干部的学校，是市委的重要部门，是培训全市各级领导干部的主渠道，是党的思想理论建设的重要阵地，是市委、市政府的哲学社会科学研究机构和重要智库。承担我市领导干部、党员、公务员等各类培训班次的教学及学员管理职能；加强马克思主义基本理论研究，重点研究宣传宣讲习近平新时代中国特色社会主义思想及党中央、省委、市委决策部署的职能；开展重大理论和现实问题研究，为市委、市政府决策咨询服务的职能；以及省委党校研究生部遂宁分部的研究</w:t>
      </w:r>
      <w:r>
        <w:rPr>
          <w:rFonts w:hint="eastAsia" w:ascii="仿宋_GB2312" w:hAnsi="仿宋_GB2312" w:eastAsia="仿宋_GB2312" w:cs="仿宋_GB2312"/>
          <w:color w:val="000000"/>
          <w:sz w:val="32"/>
          <w:szCs w:val="32"/>
          <w:highlight w:val="none"/>
        </w:rPr>
        <w:t>生教育管理等职能。</w:t>
      </w: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方正楷体_GBK" w:hAnsi="方正楷体_GBK" w:eastAsia="方正楷体_GBK" w:cs="方正楷体_GBK"/>
          <w:color w:val="000000"/>
          <w:kern w:val="0"/>
          <w:sz w:val="32"/>
          <w:szCs w:val="32"/>
          <w:highlight w:val="none"/>
          <w:shd w:val="clear" w:color="auto" w:fill="FFFFFF"/>
          <w:lang w:val="zh-CN"/>
        </w:rPr>
      </w:pPr>
      <w:r>
        <w:rPr>
          <w:rFonts w:hint="eastAsia" w:ascii="方正楷体_GBK" w:hAnsi="方正楷体_GBK" w:eastAsia="方正楷体_GBK" w:cs="方正楷体_GBK"/>
          <w:color w:val="000000"/>
          <w:kern w:val="0"/>
          <w:sz w:val="32"/>
          <w:szCs w:val="32"/>
          <w:highlight w:val="none"/>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校（院）</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主要</w:t>
      </w:r>
      <w:r>
        <w:rPr>
          <w:rFonts w:hint="eastAsia" w:ascii="仿宋_GB2312" w:hAnsi="仿宋_GB2312" w:eastAsia="仿宋_GB2312" w:cs="仿宋_GB2312"/>
          <w:color w:val="000000"/>
          <w:sz w:val="32"/>
          <w:szCs w:val="32"/>
        </w:rPr>
        <w:t>由两部分组成：一是参照公务员管理的行政人员，二是事业编制人员。截止202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年12月31日，有在编在职职工</w:t>
      </w:r>
      <w:r>
        <w:rPr>
          <w:rFonts w:hint="eastAsia" w:ascii="仿宋_GB2312" w:hAnsi="仿宋_GB2312"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rPr>
        <w:t>人（参照公务员管理1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事业编制</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人），聘用人员3人，退休人员</w:t>
      </w:r>
      <w:r>
        <w:rPr>
          <w:rFonts w:hint="eastAsia" w:ascii="仿宋_GB2312" w:hAnsi="仿宋_GB2312" w:eastAsia="仿宋_GB2312" w:cs="仿宋_GB2312"/>
          <w:color w:val="000000"/>
          <w:sz w:val="32"/>
          <w:szCs w:val="32"/>
          <w:lang w:val="en-US" w:eastAsia="zh-CN"/>
        </w:rPr>
        <w:t>51</w:t>
      </w:r>
      <w:r>
        <w:rPr>
          <w:rFonts w:hint="eastAsia" w:ascii="仿宋_GB2312" w:hAnsi="仿宋_GB2312" w:eastAsia="仿宋_GB2312" w:cs="仿宋_GB2312"/>
          <w:color w:val="000000"/>
          <w:sz w:val="32"/>
          <w:szCs w:val="32"/>
        </w:rPr>
        <w:t>人。202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年末较20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年末人数</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3人</w:t>
      </w:r>
      <w:r>
        <w:rPr>
          <w:rFonts w:hint="eastAsia" w:ascii="仿宋_GB2312" w:hAnsi="仿宋_GB2312" w:eastAsia="仿宋_GB2312" w:cs="仿宋_GB2312"/>
          <w:color w:val="000000"/>
          <w:sz w:val="32"/>
          <w:szCs w:val="32"/>
        </w:rPr>
        <w:t>，变动原因为：202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调入</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新聘用</w:t>
      </w:r>
      <w:r>
        <w:rPr>
          <w:rFonts w:hint="eastAsia" w:ascii="仿宋_GB2312" w:hAnsi="仿宋_GB2312" w:eastAsia="仿宋_GB2312" w:cs="仿宋_GB2312"/>
          <w:color w:val="000000"/>
          <w:sz w:val="32"/>
          <w:szCs w:val="32"/>
          <w:lang w:val="en-US" w:eastAsia="zh-CN"/>
        </w:rPr>
        <w:t>1人，</w:t>
      </w:r>
      <w:r>
        <w:rPr>
          <w:rFonts w:hint="eastAsia" w:ascii="仿宋_GB2312" w:hAnsi="仿宋_GB2312" w:eastAsia="仿宋_GB2312" w:cs="仿宋_GB2312"/>
          <w:color w:val="000000"/>
          <w:sz w:val="32"/>
          <w:szCs w:val="32"/>
          <w:lang w:eastAsia="zh-CN"/>
        </w:rPr>
        <w:t>退休</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val="en-US" w:eastAsia="zh-CN"/>
        </w:rPr>
        <w:t>,调出1人</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黑体" w:hAnsi="黑体" w:eastAsia="黑体" w:cs="黑体"/>
          <w:color w:val="000000"/>
          <w:kern w:val="0"/>
          <w:sz w:val="32"/>
          <w:szCs w:val="32"/>
          <w:highlight w:val="none"/>
          <w:shd w:val="clear" w:color="auto" w:fill="FFFFFF"/>
          <w:lang w:val="zh-CN"/>
        </w:rPr>
      </w:pPr>
      <w:r>
        <w:rPr>
          <w:rFonts w:hint="eastAsia" w:ascii="黑体" w:hAnsi="黑体" w:eastAsia="黑体" w:cs="黑体"/>
          <w:color w:val="000000"/>
          <w:kern w:val="0"/>
          <w:sz w:val="32"/>
          <w:szCs w:val="32"/>
          <w:highlight w:val="none"/>
          <w:shd w:val="clear" w:color="auto" w:fill="FFFFFF"/>
          <w:lang w:val="zh-CN"/>
        </w:rPr>
        <w:t>二、部门财政资金收支情况</w:t>
      </w: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方正楷体_GBK" w:hAnsi="方正楷体_GBK" w:eastAsia="方正楷体_GBK" w:cs="方正楷体_GBK"/>
          <w:color w:val="000000"/>
          <w:kern w:val="0"/>
          <w:sz w:val="32"/>
          <w:szCs w:val="32"/>
          <w:highlight w:val="none"/>
          <w:shd w:val="clear" w:color="auto" w:fill="FFFFFF"/>
          <w:lang w:val="zh-CN"/>
        </w:rPr>
      </w:pPr>
      <w:r>
        <w:rPr>
          <w:rFonts w:hint="eastAsia" w:ascii="方正楷体_GBK" w:hAnsi="方正楷体_GBK" w:eastAsia="方正楷体_GBK" w:cs="方正楷体_GBK"/>
          <w:color w:val="000000"/>
          <w:kern w:val="0"/>
          <w:sz w:val="32"/>
          <w:szCs w:val="32"/>
          <w:highlight w:val="none"/>
          <w:shd w:val="clear" w:color="auto" w:fill="FFFFFF"/>
          <w:lang w:val="zh-CN"/>
        </w:rPr>
        <w:t>（一）部门财政资金收入情况</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市委</w:t>
      </w:r>
      <w:r>
        <w:rPr>
          <w:rFonts w:hint="eastAsia" w:ascii="仿宋_GB2312" w:hAnsi="仿宋_GB2312" w:eastAsia="仿宋_GB2312" w:cs="仿宋_GB2312"/>
          <w:sz w:val="32"/>
          <w:szCs w:val="32"/>
          <w:highlight w:val="none"/>
          <w:lang w:val="en-US" w:eastAsia="zh-CN"/>
        </w:rPr>
        <w:t>党校</w:t>
      </w:r>
      <w:r>
        <w:rPr>
          <w:rFonts w:hint="eastAsia" w:ascii="仿宋_GB2312" w:hAnsi="仿宋_GB2312" w:eastAsia="仿宋_GB2312" w:cs="仿宋_GB2312"/>
          <w:sz w:val="32"/>
          <w:szCs w:val="32"/>
          <w:highlight w:val="none"/>
        </w:rPr>
        <w:t>年初预算</w:t>
      </w:r>
      <w:r>
        <w:rPr>
          <w:rFonts w:hint="eastAsia" w:ascii="仿宋_GB2312" w:hAnsi="仿宋_GB2312" w:eastAsia="仿宋_GB2312" w:cs="仿宋_GB2312"/>
          <w:sz w:val="32"/>
          <w:szCs w:val="32"/>
          <w:highlight w:val="none"/>
          <w:lang w:val="en-US" w:eastAsia="zh-CN"/>
        </w:rPr>
        <w:t>1118.78</w:t>
      </w:r>
      <w:r>
        <w:rPr>
          <w:rFonts w:hint="eastAsia" w:ascii="仿宋_GB2312" w:hAnsi="仿宋_GB2312" w:eastAsia="仿宋_GB2312" w:cs="仿宋_GB2312"/>
          <w:sz w:val="32"/>
          <w:szCs w:val="32"/>
          <w:highlight w:val="none"/>
        </w:rPr>
        <w:t>万元，其中年初财政拨款</w:t>
      </w:r>
      <w:r>
        <w:rPr>
          <w:rFonts w:hint="eastAsia" w:ascii="仿宋_GB2312" w:hAnsi="仿宋_GB2312" w:eastAsia="仿宋_GB2312" w:cs="仿宋_GB2312"/>
          <w:sz w:val="32"/>
          <w:szCs w:val="32"/>
          <w:highlight w:val="none"/>
          <w:lang w:val="en-US" w:eastAsia="zh-CN"/>
        </w:rPr>
        <w:t>1118.78</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，中期调整</w:t>
      </w:r>
      <w:r>
        <w:rPr>
          <w:rFonts w:hint="eastAsia" w:ascii="仿宋_GB2312" w:hAnsi="仿宋_GB2312" w:eastAsia="仿宋_GB2312" w:cs="仿宋_GB2312"/>
          <w:sz w:val="32"/>
          <w:szCs w:val="32"/>
          <w:highlight w:val="none"/>
          <w:lang w:val="en-US" w:eastAsia="zh-CN"/>
        </w:rPr>
        <w:t>3317.17</w:t>
      </w:r>
      <w:r>
        <w:rPr>
          <w:rFonts w:hint="eastAsia" w:ascii="仿宋_GB2312" w:hAnsi="仿宋_GB2312" w:eastAsia="仿宋_GB2312" w:cs="仿宋_GB2312"/>
          <w:sz w:val="32"/>
          <w:szCs w:val="32"/>
          <w:highlight w:val="none"/>
        </w:rPr>
        <w:t>万元，调整后预算收入总额为</w:t>
      </w:r>
      <w:r>
        <w:rPr>
          <w:rFonts w:hint="eastAsia" w:ascii="仿宋_GB2312" w:hAnsi="仿宋_GB2312" w:eastAsia="仿宋_GB2312" w:cs="仿宋_GB2312"/>
          <w:sz w:val="32"/>
          <w:szCs w:val="32"/>
          <w:highlight w:val="none"/>
          <w:lang w:val="en-US" w:eastAsia="zh-CN"/>
        </w:rPr>
        <w:t>4435.95</w:t>
      </w:r>
      <w:r>
        <w:rPr>
          <w:rFonts w:hint="eastAsia" w:ascii="仿宋_GB2312" w:hAnsi="仿宋_GB2312" w:eastAsia="仿宋_GB2312" w:cs="仿宋_GB2312"/>
          <w:sz w:val="32"/>
          <w:szCs w:val="32"/>
          <w:highlight w:val="none"/>
        </w:rPr>
        <w:t>万元。</w:t>
      </w:r>
    </w:p>
    <w:p>
      <w:pPr>
        <w:pStyle w:val="39"/>
        <w:rPr>
          <w:highlight w:val="none"/>
        </w:rPr>
      </w:pPr>
    </w:p>
    <w:p>
      <w:pPr>
        <w:pStyle w:val="39"/>
        <w:rPr>
          <w:highlight w:val="none"/>
        </w:rPr>
      </w:pPr>
      <w:r>
        <w:rPr>
          <w:highlight w:val="none"/>
        </w:rPr>
        <w:t>年度预算表</w:t>
      </w:r>
    </w:p>
    <w:tbl>
      <w:tblPr>
        <w:tblStyle w:val="16"/>
        <w:tblW w:w="899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8"/>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39" w:type="dxa"/>
            <w:noWrap w:val="0"/>
            <w:vAlign w:val="top"/>
          </w:tcPr>
          <w:p>
            <w:pPr>
              <w:pStyle w:val="40"/>
              <w:rPr>
                <w:b/>
                <w:bCs w:val="0"/>
                <w:highlight w:val="none"/>
              </w:rPr>
            </w:pPr>
            <w:r>
              <w:rPr>
                <w:rFonts w:hint="eastAsia"/>
                <w:b/>
                <w:bCs w:val="0"/>
                <w:highlight w:val="none"/>
              </w:rPr>
              <w:t>项目名称</w:t>
            </w:r>
          </w:p>
        </w:tc>
        <w:tc>
          <w:tcPr>
            <w:tcW w:w="2248" w:type="dxa"/>
            <w:noWrap w:val="0"/>
            <w:vAlign w:val="top"/>
          </w:tcPr>
          <w:p>
            <w:pPr>
              <w:pStyle w:val="40"/>
              <w:rPr>
                <w:rFonts w:hint="eastAsia" w:eastAsia="仿宋"/>
                <w:b/>
                <w:bCs w:val="0"/>
                <w:highlight w:val="none"/>
                <w:lang w:eastAsia="zh-CN"/>
              </w:rPr>
            </w:pPr>
            <w:r>
              <w:rPr>
                <w:rFonts w:hint="eastAsia"/>
                <w:b/>
                <w:bCs w:val="0"/>
                <w:highlight w:val="none"/>
              </w:rPr>
              <w:t>年初预算</w:t>
            </w:r>
            <w:r>
              <w:rPr>
                <w:rFonts w:hint="eastAsia"/>
                <w:b/>
                <w:bCs w:val="0"/>
                <w:highlight w:val="none"/>
                <w:lang w:eastAsia="zh-CN"/>
              </w:rPr>
              <w:t>（万元）</w:t>
            </w:r>
          </w:p>
        </w:tc>
        <w:tc>
          <w:tcPr>
            <w:tcW w:w="2255" w:type="dxa"/>
            <w:noWrap w:val="0"/>
            <w:vAlign w:val="top"/>
          </w:tcPr>
          <w:p>
            <w:pPr>
              <w:pStyle w:val="40"/>
              <w:rPr>
                <w:b/>
                <w:bCs w:val="0"/>
                <w:highlight w:val="none"/>
              </w:rPr>
            </w:pPr>
            <w:r>
              <w:rPr>
                <w:b/>
                <w:bCs w:val="0"/>
                <w:highlight w:val="none"/>
              </w:rPr>
              <w:t>中期调整</w:t>
            </w:r>
            <w:r>
              <w:rPr>
                <w:rFonts w:hint="eastAsia"/>
                <w:b/>
                <w:bCs w:val="0"/>
                <w:highlight w:val="none"/>
                <w:lang w:eastAsia="zh-CN"/>
              </w:rPr>
              <w:t>（万元）</w:t>
            </w:r>
          </w:p>
        </w:tc>
        <w:tc>
          <w:tcPr>
            <w:tcW w:w="2255" w:type="dxa"/>
            <w:noWrap w:val="0"/>
            <w:vAlign w:val="top"/>
          </w:tcPr>
          <w:p>
            <w:pPr>
              <w:pStyle w:val="40"/>
              <w:rPr>
                <w:b/>
                <w:bCs w:val="0"/>
                <w:highlight w:val="none"/>
              </w:rPr>
            </w:pPr>
            <w:r>
              <w:rPr>
                <w:b/>
                <w:bCs w:val="0"/>
                <w:highlight w:val="none"/>
              </w:rPr>
              <w:t>年度总预算</w:t>
            </w:r>
            <w:r>
              <w:rPr>
                <w:rFonts w:hint="eastAsia"/>
                <w:b/>
                <w:bCs w:val="0"/>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noWrap w:val="0"/>
            <w:vAlign w:val="top"/>
          </w:tcPr>
          <w:p>
            <w:pPr>
              <w:pStyle w:val="40"/>
              <w:rPr>
                <w:highlight w:val="none"/>
              </w:rPr>
            </w:pPr>
            <w:r>
              <w:rPr>
                <w:rFonts w:hint="eastAsia"/>
                <w:highlight w:val="none"/>
              </w:rPr>
              <w:t>一、一般公共预算财政拨款收入</w:t>
            </w:r>
          </w:p>
        </w:tc>
        <w:tc>
          <w:tcPr>
            <w:tcW w:w="2248" w:type="dxa"/>
            <w:noWrap w:val="0"/>
            <w:vAlign w:val="top"/>
          </w:tcPr>
          <w:p>
            <w:pPr>
              <w:pStyle w:val="40"/>
              <w:rPr>
                <w:highlight w:val="none"/>
              </w:rPr>
            </w:pPr>
            <w:r>
              <w:rPr>
                <w:rFonts w:hint="eastAsia"/>
                <w:highlight w:val="none"/>
                <w:lang w:val="en-US" w:eastAsia="zh-CN"/>
              </w:rPr>
              <w:t>1118.78</w:t>
            </w:r>
          </w:p>
        </w:tc>
        <w:tc>
          <w:tcPr>
            <w:tcW w:w="2255" w:type="dxa"/>
            <w:noWrap w:val="0"/>
            <w:vAlign w:val="top"/>
          </w:tcPr>
          <w:p>
            <w:pPr>
              <w:pStyle w:val="40"/>
              <w:rPr>
                <w:rFonts w:hint="default" w:eastAsia="仿宋"/>
                <w:highlight w:val="none"/>
                <w:lang w:val="en-US" w:eastAsia="zh-CN"/>
              </w:rPr>
            </w:pPr>
            <w:r>
              <w:rPr>
                <w:rFonts w:hint="eastAsia"/>
                <w:highlight w:val="none"/>
                <w:lang w:val="en-US" w:eastAsia="zh-CN"/>
              </w:rPr>
              <w:t>3317.17</w:t>
            </w:r>
          </w:p>
        </w:tc>
        <w:tc>
          <w:tcPr>
            <w:tcW w:w="2255" w:type="dxa"/>
            <w:noWrap w:val="0"/>
            <w:vAlign w:val="top"/>
          </w:tcPr>
          <w:p>
            <w:pPr>
              <w:pStyle w:val="40"/>
              <w:rPr>
                <w:rFonts w:hint="default" w:eastAsia="仿宋"/>
                <w:highlight w:val="none"/>
                <w:lang w:val="en-US" w:eastAsia="zh-CN"/>
              </w:rPr>
            </w:pPr>
            <w:r>
              <w:rPr>
                <w:rFonts w:hint="eastAsia"/>
                <w:highlight w:val="none"/>
                <w:lang w:val="en-US" w:eastAsia="zh-CN"/>
              </w:rPr>
              <w:t>4435.95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39" w:type="dxa"/>
            <w:noWrap w:val="0"/>
            <w:vAlign w:val="top"/>
          </w:tcPr>
          <w:p>
            <w:pPr>
              <w:pStyle w:val="40"/>
              <w:rPr>
                <w:highlight w:val="none"/>
              </w:rPr>
            </w:pPr>
            <w:r>
              <w:rPr>
                <w:rFonts w:hint="eastAsia"/>
                <w:highlight w:val="none"/>
              </w:rPr>
              <w:t>二、其他收入</w:t>
            </w:r>
          </w:p>
        </w:tc>
        <w:tc>
          <w:tcPr>
            <w:tcW w:w="2248" w:type="dxa"/>
            <w:noWrap w:val="0"/>
            <w:vAlign w:val="top"/>
          </w:tcPr>
          <w:p>
            <w:pPr>
              <w:pStyle w:val="40"/>
              <w:rPr>
                <w:highlight w:val="none"/>
              </w:rPr>
            </w:pPr>
            <w:r>
              <w:rPr>
                <w:rFonts w:hint="eastAsia"/>
                <w:highlight w:val="none"/>
              </w:rPr>
              <w:t>-</w:t>
            </w:r>
          </w:p>
        </w:tc>
        <w:tc>
          <w:tcPr>
            <w:tcW w:w="2255" w:type="dxa"/>
            <w:noWrap w:val="0"/>
            <w:vAlign w:val="top"/>
          </w:tcPr>
          <w:p>
            <w:pPr>
              <w:pStyle w:val="40"/>
              <w:rPr>
                <w:highlight w:val="none"/>
              </w:rPr>
            </w:pPr>
          </w:p>
        </w:tc>
        <w:tc>
          <w:tcPr>
            <w:tcW w:w="2255" w:type="dxa"/>
            <w:noWrap w:val="0"/>
            <w:vAlign w:val="top"/>
          </w:tcPr>
          <w:p>
            <w:pPr>
              <w:pStyle w:val="4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39" w:type="dxa"/>
            <w:noWrap w:val="0"/>
            <w:vAlign w:val="top"/>
          </w:tcPr>
          <w:p>
            <w:pPr>
              <w:pStyle w:val="40"/>
              <w:rPr>
                <w:highlight w:val="none"/>
              </w:rPr>
            </w:pPr>
            <w:r>
              <w:rPr>
                <w:rFonts w:hint="eastAsia"/>
                <w:highlight w:val="none"/>
              </w:rPr>
              <w:t>结转结余</w:t>
            </w:r>
          </w:p>
        </w:tc>
        <w:tc>
          <w:tcPr>
            <w:tcW w:w="2248" w:type="dxa"/>
            <w:noWrap w:val="0"/>
            <w:vAlign w:val="top"/>
          </w:tcPr>
          <w:p>
            <w:pPr>
              <w:pStyle w:val="40"/>
              <w:jc w:val="both"/>
              <w:rPr>
                <w:highlight w:val="none"/>
              </w:rPr>
            </w:pPr>
          </w:p>
        </w:tc>
        <w:tc>
          <w:tcPr>
            <w:tcW w:w="2255" w:type="dxa"/>
            <w:noWrap w:val="0"/>
            <w:vAlign w:val="top"/>
          </w:tcPr>
          <w:p>
            <w:pPr>
              <w:pStyle w:val="40"/>
              <w:rPr>
                <w:highlight w:val="none"/>
              </w:rPr>
            </w:pPr>
            <w:r>
              <w:rPr>
                <w:rFonts w:hint="eastAsia"/>
                <w:highlight w:val="none"/>
              </w:rPr>
              <w:t>-</w:t>
            </w:r>
          </w:p>
        </w:tc>
        <w:tc>
          <w:tcPr>
            <w:tcW w:w="2255" w:type="dxa"/>
            <w:noWrap w:val="0"/>
            <w:vAlign w:val="top"/>
          </w:tcPr>
          <w:p>
            <w:pPr>
              <w:pStyle w:val="40"/>
              <w:rPr>
                <w:rFonts w:hint="default" w:eastAsia="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239" w:type="dxa"/>
            <w:noWrap w:val="0"/>
            <w:vAlign w:val="top"/>
          </w:tcPr>
          <w:p>
            <w:pPr>
              <w:pStyle w:val="40"/>
              <w:rPr>
                <w:b/>
                <w:bCs w:val="0"/>
                <w:color w:val="FF0000"/>
                <w:highlight w:val="none"/>
              </w:rPr>
            </w:pPr>
            <w:r>
              <w:rPr>
                <w:rFonts w:hint="eastAsia"/>
                <w:b/>
                <w:bCs w:val="0"/>
                <w:highlight w:val="none"/>
              </w:rPr>
              <w:t>总计</w:t>
            </w:r>
          </w:p>
        </w:tc>
        <w:tc>
          <w:tcPr>
            <w:tcW w:w="2248" w:type="dxa"/>
            <w:noWrap w:val="0"/>
            <w:vAlign w:val="top"/>
          </w:tcPr>
          <w:p>
            <w:pPr>
              <w:pStyle w:val="40"/>
              <w:rPr>
                <w:b/>
                <w:bCs w:val="0"/>
                <w:highlight w:val="none"/>
              </w:rPr>
            </w:pPr>
          </w:p>
        </w:tc>
        <w:tc>
          <w:tcPr>
            <w:tcW w:w="2255" w:type="dxa"/>
            <w:noWrap w:val="0"/>
            <w:vAlign w:val="top"/>
          </w:tcPr>
          <w:p>
            <w:pPr>
              <w:pStyle w:val="40"/>
              <w:rPr>
                <w:b/>
                <w:bCs w:val="0"/>
                <w:highlight w:val="none"/>
              </w:rPr>
            </w:pPr>
          </w:p>
        </w:tc>
        <w:tc>
          <w:tcPr>
            <w:tcW w:w="2255" w:type="dxa"/>
            <w:noWrap w:val="0"/>
            <w:vAlign w:val="top"/>
          </w:tcPr>
          <w:p>
            <w:pPr>
              <w:pStyle w:val="40"/>
              <w:pBdr>
                <w:between w:val="none" w:color="auto" w:sz="0" w:space="0"/>
              </w:pBdr>
              <w:rPr>
                <w:rFonts w:hint="default" w:eastAsia="仿宋"/>
                <w:b/>
                <w:bCs w:val="0"/>
                <w:highlight w:val="none"/>
                <w:lang w:val="en-US" w:eastAsia="zh-CN"/>
              </w:rPr>
            </w:pPr>
            <w:r>
              <w:rPr>
                <w:rFonts w:hint="eastAsia"/>
                <w:highlight w:val="none"/>
                <w:lang w:val="en-US" w:eastAsia="zh-CN"/>
              </w:rPr>
              <w:t>4435.95</w:t>
            </w:r>
            <w:r>
              <w:rPr>
                <w:rFonts w:hint="eastAsia"/>
                <w:highlight w:val="none"/>
              </w:rPr>
              <w:t>万元</w:t>
            </w:r>
          </w:p>
        </w:tc>
      </w:tr>
    </w:tbl>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方正楷体_GBK" w:hAnsi="方正楷体_GBK" w:eastAsia="方正楷体_GBK" w:cs="方正楷体_GBK"/>
          <w:sz w:val="32"/>
          <w:szCs w:val="32"/>
          <w:highlight w:val="none"/>
          <w:lang w:val="zh-CN"/>
        </w:rPr>
      </w:pPr>
      <w:r>
        <w:rPr>
          <w:rFonts w:hint="eastAsia" w:ascii="方正楷体_GBK" w:hAnsi="方正楷体_GBK" w:eastAsia="方正楷体_GBK" w:cs="方正楷体_GBK"/>
          <w:sz w:val="32"/>
          <w:szCs w:val="32"/>
          <w:highlight w:val="none"/>
          <w:lang w:val="zh-CN"/>
        </w:rPr>
        <w:t>（二）部门财政资金支出情况</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市委党校</w:t>
      </w:r>
      <w:r>
        <w:rPr>
          <w:rFonts w:hint="eastAsia" w:ascii="仿宋_GB2312" w:hAnsi="仿宋_GB2312" w:eastAsia="仿宋_GB2312" w:cs="仿宋_GB2312"/>
          <w:sz w:val="32"/>
          <w:szCs w:val="32"/>
          <w:highlight w:val="none"/>
        </w:rPr>
        <w:t>财政支出年初预算为</w:t>
      </w:r>
      <w:r>
        <w:rPr>
          <w:rFonts w:hint="eastAsia" w:ascii="仿宋_GB2312" w:hAnsi="仿宋_GB2312" w:eastAsia="仿宋_GB2312" w:cs="仿宋_GB2312"/>
          <w:sz w:val="32"/>
          <w:szCs w:val="32"/>
          <w:highlight w:val="none"/>
          <w:lang w:val="en-US" w:eastAsia="zh-CN"/>
        </w:rPr>
        <w:t>1118.78</w:t>
      </w:r>
      <w:r>
        <w:rPr>
          <w:rFonts w:hint="eastAsia" w:ascii="仿宋_GB2312" w:hAnsi="仿宋_GB2312" w:eastAsia="仿宋_GB2312" w:cs="仿宋_GB2312"/>
          <w:sz w:val="32"/>
          <w:szCs w:val="32"/>
          <w:highlight w:val="none"/>
        </w:rPr>
        <w:t>万元，中期调整为</w:t>
      </w:r>
      <w:r>
        <w:rPr>
          <w:rFonts w:hint="eastAsia" w:ascii="仿宋_GB2312" w:hAnsi="仿宋_GB2312" w:eastAsia="仿宋_GB2312" w:cs="仿宋_GB2312"/>
          <w:sz w:val="32"/>
          <w:szCs w:val="32"/>
          <w:highlight w:val="none"/>
          <w:lang w:val="en-US" w:eastAsia="zh-CN"/>
        </w:rPr>
        <w:t>3317.17</w:t>
      </w:r>
      <w:r>
        <w:rPr>
          <w:rFonts w:hint="eastAsia" w:ascii="仿宋_GB2312" w:hAnsi="仿宋_GB2312" w:eastAsia="仿宋_GB2312" w:cs="仿宋_GB2312"/>
          <w:sz w:val="32"/>
          <w:szCs w:val="32"/>
          <w:highlight w:val="none"/>
        </w:rPr>
        <w:t>万元，调整后预算支出总额为</w:t>
      </w:r>
      <w:r>
        <w:rPr>
          <w:rFonts w:hint="eastAsia" w:ascii="仿宋_GB2312" w:hAnsi="仿宋_GB2312" w:eastAsia="仿宋_GB2312" w:cs="仿宋_GB2312"/>
          <w:sz w:val="32"/>
          <w:szCs w:val="32"/>
          <w:highlight w:val="none"/>
          <w:lang w:val="en-US" w:eastAsia="zh-CN"/>
        </w:rPr>
        <w:t>4435.95</w:t>
      </w:r>
      <w:r>
        <w:rPr>
          <w:rFonts w:hint="eastAsia" w:ascii="仿宋_GB2312" w:hAnsi="仿宋_GB2312" w:eastAsia="仿宋_GB2312" w:cs="仿宋_GB2312"/>
          <w:sz w:val="32"/>
          <w:szCs w:val="32"/>
          <w:highlight w:val="none"/>
        </w:rPr>
        <w:t>万元，部门支出预算执行总额为</w:t>
      </w:r>
      <w:r>
        <w:rPr>
          <w:rFonts w:hint="eastAsia" w:ascii="仿宋_GB2312" w:hAnsi="仿宋_GB2312" w:eastAsia="仿宋_GB2312" w:cs="仿宋_GB2312"/>
          <w:sz w:val="32"/>
          <w:szCs w:val="32"/>
          <w:highlight w:val="none"/>
          <w:lang w:val="en-US" w:eastAsia="zh-CN"/>
        </w:rPr>
        <w:t>4435.95</w:t>
      </w:r>
      <w:r>
        <w:rPr>
          <w:rFonts w:hint="eastAsia" w:ascii="仿宋_GB2312" w:hAnsi="仿宋_GB2312" w:eastAsia="仿宋_GB2312" w:cs="仿宋_GB2312"/>
          <w:sz w:val="32"/>
          <w:szCs w:val="32"/>
          <w:highlight w:val="none"/>
        </w:rPr>
        <w:t>万元，部门总体执行进度为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%，其中：基本支出预算总额为</w:t>
      </w:r>
      <w:r>
        <w:rPr>
          <w:rFonts w:hint="eastAsia" w:ascii="仿宋_GB2312" w:hAnsi="仿宋_GB2312" w:eastAsia="仿宋_GB2312" w:cs="仿宋_GB2312"/>
          <w:sz w:val="32"/>
          <w:szCs w:val="32"/>
          <w:highlight w:val="none"/>
          <w:lang w:val="en-US" w:eastAsia="zh-CN"/>
        </w:rPr>
        <w:t>1345.66</w:t>
      </w:r>
      <w:r>
        <w:rPr>
          <w:rFonts w:hint="eastAsia" w:ascii="仿宋_GB2312" w:hAnsi="仿宋_GB2312" w:eastAsia="仿宋_GB2312" w:cs="仿宋_GB2312"/>
          <w:sz w:val="32"/>
          <w:szCs w:val="32"/>
          <w:highlight w:val="none"/>
        </w:rPr>
        <w:t>万元，基本支出执行总额为</w:t>
      </w:r>
      <w:r>
        <w:rPr>
          <w:rFonts w:hint="eastAsia" w:ascii="仿宋_GB2312" w:hAnsi="仿宋_GB2312" w:eastAsia="仿宋_GB2312" w:cs="仿宋_GB2312"/>
          <w:sz w:val="32"/>
          <w:szCs w:val="32"/>
          <w:highlight w:val="none"/>
          <w:lang w:val="en-US" w:eastAsia="zh-CN"/>
        </w:rPr>
        <w:t>1345.66</w:t>
      </w:r>
      <w:r>
        <w:rPr>
          <w:rFonts w:hint="eastAsia" w:ascii="仿宋_GB2312" w:hAnsi="仿宋_GB2312" w:eastAsia="仿宋_GB2312" w:cs="仿宋_GB2312"/>
          <w:sz w:val="32"/>
          <w:szCs w:val="32"/>
          <w:highlight w:val="none"/>
        </w:rPr>
        <w:t>万元，基本支出总体执行进度100%；项目支出预算总额为</w:t>
      </w:r>
      <w:r>
        <w:rPr>
          <w:rFonts w:hint="eastAsia" w:ascii="仿宋_GB2312" w:hAnsi="仿宋_GB2312" w:eastAsia="仿宋_GB2312" w:cs="仿宋_GB2312"/>
          <w:sz w:val="32"/>
          <w:szCs w:val="32"/>
          <w:highlight w:val="none"/>
          <w:lang w:val="en-US" w:eastAsia="zh-CN"/>
        </w:rPr>
        <w:t>3090.29</w:t>
      </w:r>
      <w:r>
        <w:rPr>
          <w:rFonts w:hint="eastAsia" w:ascii="仿宋_GB2312" w:hAnsi="仿宋_GB2312" w:eastAsia="仿宋_GB2312" w:cs="仿宋_GB2312"/>
          <w:sz w:val="32"/>
          <w:szCs w:val="32"/>
          <w:highlight w:val="none"/>
        </w:rPr>
        <w:t>万元，项目支出执行总额为</w:t>
      </w:r>
      <w:r>
        <w:rPr>
          <w:rFonts w:hint="eastAsia" w:ascii="仿宋_GB2312" w:hAnsi="仿宋_GB2312" w:eastAsia="仿宋_GB2312" w:cs="仿宋_GB2312"/>
          <w:sz w:val="32"/>
          <w:szCs w:val="32"/>
          <w:highlight w:val="none"/>
          <w:lang w:val="en-US" w:eastAsia="zh-CN"/>
        </w:rPr>
        <w:t>3090.29</w:t>
      </w:r>
      <w:r>
        <w:rPr>
          <w:rFonts w:hint="eastAsia" w:ascii="仿宋_GB2312" w:hAnsi="仿宋_GB2312" w:eastAsia="仿宋_GB2312" w:cs="仿宋_GB2312"/>
          <w:sz w:val="32"/>
          <w:szCs w:val="32"/>
          <w:highlight w:val="none"/>
        </w:rPr>
        <w:t>万元，项目支出总体执行进度</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39"/>
        <w:rPr>
          <w:highlight w:val="none"/>
        </w:rPr>
      </w:pPr>
      <w:r>
        <w:rPr>
          <w:highlight w:val="none"/>
        </w:rPr>
        <w:t xml:space="preserve"> 年度预算执行表</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197"/>
        <w:gridCol w:w="1195"/>
        <w:gridCol w:w="1352"/>
        <w:gridCol w:w="122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52" w:type="dxa"/>
            <w:noWrap w:val="0"/>
            <w:vAlign w:val="center"/>
          </w:tcPr>
          <w:p>
            <w:pPr>
              <w:pStyle w:val="40"/>
              <w:rPr>
                <w:b/>
                <w:bCs w:val="0"/>
                <w:highlight w:val="none"/>
              </w:rPr>
            </w:pPr>
            <w:r>
              <w:rPr>
                <w:rFonts w:hint="eastAsia"/>
                <w:b/>
                <w:bCs w:val="0"/>
                <w:highlight w:val="none"/>
              </w:rPr>
              <w:t>项目名称</w:t>
            </w:r>
          </w:p>
        </w:tc>
        <w:tc>
          <w:tcPr>
            <w:tcW w:w="1197" w:type="dxa"/>
            <w:noWrap w:val="0"/>
            <w:vAlign w:val="center"/>
          </w:tcPr>
          <w:p>
            <w:pPr>
              <w:pStyle w:val="40"/>
              <w:rPr>
                <w:b/>
                <w:bCs w:val="0"/>
                <w:highlight w:val="none"/>
              </w:rPr>
            </w:pPr>
            <w:r>
              <w:rPr>
                <w:b/>
                <w:bCs w:val="0"/>
                <w:highlight w:val="none"/>
              </w:rPr>
              <w:t>年</w:t>
            </w:r>
            <w:r>
              <w:rPr>
                <w:rFonts w:hint="eastAsia"/>
                <w:b/>
                <w:bCs w:val="0"/>
                <w:highlight w:val="none"/>
                <w:lang w:eastAsia="zh-CN"/>
              </w:rPr>
              <w:t>初</w:t>
            </w:r>
            <w:r>
              <w:rPr>
                <w:b/>
                <w:bCs w:val="0"/>
                <w:highlight w:val="none"/>
              </w:rPr>
              <w:t>预算</w:t>
            </w:r>
            <w:r>
              <w:rPr>
                <w:rFonts w:hint="eastAsia"/>
                <w:b/>
                <w:bCs w:val="0"/>
                <w:highlight w:val="none"/>
                <w:lang w:eastAsia="zh-CN"/>
              </w:rPr>
              <w:t>（万元）</w:t>
            </w:r>
          </w:p>
        </w:tc>
        <w:tc>
          <w:tcPr>
            <w:tcW w:w="1195" w:type="dxa"/>
            <w:noWrap w:val="0"/>
            <w:vAlign w:val="center"/>
          </w:tcPr>
          <w:p>
            <w:pPr>
              <w:pStyle w:val="40"/>
              <w:rPr>
                <w:b/>
                <w:bCs w:val="0"/>
                <w:highlight w:val="none"/>
              </w:rPr>
            </w:pPr>
            <w:r>
              <w:rPr>
                <w:b/>
                <w:bCs w:val="0"/>
                <w:highlight w:val="none"/>
              </w:rPr>
              <w:t>中期调整</w:t>
            </w:r>
            <w:r>
              <w:rPr>
                <w:rFonts w:hint="eastAsia"/>
                <w:b/>
                <w:bCs w:val="0"/>
                <w:highlight w:val="none"/>
                <w:lang w:eastAsia="zh-CN"/>
              </w:rPr>
              <w:t>（万元）</w:t>
            </w:r>
          </w:p>
        </w:tc>
        <w:tc>
          <w:tcPr>
            <w:tcW w:w="1352" w:type="dxa"/>
            <w:tcBorders>
              <w:bottom w:val="single" w:color="auto" w:sz="4" w:space="0"/>
            </w:tcBorders>
            <w:noWrap w:val="0"/>
            <w:vAlign w:val="center"/>
          </w:tcPr>
          <w:p>
            <w:pPr>
              <w:pStyle w:val="40"/>
              <w:rPr>
                <w:b/>
                <w:bCs w:val="0"/>
                <w:highlight w:val="none"/>
              </w:rPr>
            </w:pPr>
            <w:r>
              <w:rPr>
                <w:b/>
                <w:bCs w:val="0"/>
                <w:highlight w:val="none"/>
              </w:rPr>
              <w:t>年</w:t>
            </w:r>
            <w:r>
              <w:rPr>
                <w:rFonts w:hint="eastAsia"/>
                <w:b/>
                <w:bCs w:val="0"/>
                <w:highlight w:val="none"/>
                <w:lang w:eastAsia="zh-CN"/>
              </w:rPr>
              <w:t>度</w:t>
            </w:r>
            <w:r>
              <w:rPr>
                <w:b/>
                <w:bCs w:val="0"/>
                <w:highlight w:val="none"/>
              </w:rPr>
              <w:t>总预算</w:t>
            </w:r>
            <w:r>
              <w:rPr>
                <w:rFonts w:hint="eastAsia"/>
                <w:b/>
                <w:bCs w:val="0"/>
                <w:highlight w:val="none"/>
                <w:lang w:eastAsia="zh-CN"/>
              </w:rPr>
              <w:t>（万元）</w:t>
            </w:r>
          </w:p>
        </w:tc>
        <w:tc>
          <w:tcPr>
            <w:tcW w:w="1225" w:type="dxa"/>
            <w:tcBorders>
              <w:bottom w:val="single" w:color="auto" w:sz="4" w:space="0"/>
            </w:tcBorders>
            <w:noWrap w:val="0"/>
            <w:vAlign w:val="center"/>
          </w:tcPr>
          <w:p>
            <w:pPr>
              <w:pStyle w:val="40"/>
              <w:rPr>
                <w:b/>
                <w:bCs w:val="0"/>
                <w:highlight w:val="none"/>
              </w:rPr>
            </w:pPr>
            <w:r>
              <w:rPr>
                <w:b/>
                <w:bCs w:val="0"/>
                <w:highlight w:val="none"/>
              </w:rPr>
              <w:t>预算执行</w:t>
            </w:r>
            <w:r>
              <w:rPr>
                <w:rFonts w:hint="eastAsia"/>
                <w:b/>
                <w:bCs w:val="0"/>
                <w:highlight w:val="none"/>
                <w:lang w:eastAsia="zh-CN"/>
              </w:rPr>
              <w:t>（万元）</w:t>
            </w:r>
          </w:p>
        </w:tc>
        <w:tc>
          <w:tcPr>
            <w:tcW w:w="1975" w:type="dxa"/>
            <w:noWrap w:val="0"/>
            <w:vAlign w:val="center"/>
          </w:tcPr>
          <w:p>
            <w:pPr>
              <w:pStyle w:val="40"/>
              <w:rPr>
                <w:b/>
                <w:bCs w:val="0"/>
                <w:highlight w:val="none"/>
              </w:rPr>
            </w:pPr>
            <w:r>
              <w:rPr>
                <w:b/>
                <w:bCs w:val="0"/>
                <w:highlight w:val="none"/>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52" w:type="dxa"/>
            <w:noWrap w:val="0"/>
            <w:vAlign w:val="center"/>
          </w:tcPr>
          <w:p>
            <w:pPr>
              <w:pStyle w:val="40"/>
              <w:jc w:val="center"/>
              <w:rPr>
                <w:highlight w:val="none"/>
              </w:rPr>
            </w:pPr>
            <w:r>
              <w:rPr>
                <w:rFonts w:hint="eastAsia"/>
                <w:highlight w:val="none"/>
              </w:rPr>
              <w:t>一、基本支出</w:t>
            </w:r>
          </w:p>
        </w:tc>
        <w:tc>
          <w:tcPr>
            <w:tcW w:w="1197" w:type="dxa"/>
            <w:noWrap w:val="0"/>
            <w:vAlign w:val="center"/>
          </w:tcPr>
          <w:p>
            <w:pPr>
              <w:widowControl/>
              <w:jc w:val="center"/>
              <w:rPr>
                <w:rFonts w:hint="default" w:eastAsia="仿宋_GB2312" w:cs="Arial"/>
                <w:color w:val="000000"/>
                <w:kern w:val="0"/>
                <w:sz w:val="22"/>
                <w:szCs w:val="22"/>
                <w:highlight w:val="none"/>
                <w:lang w:val="en-US" w:eastAsia="zh-CN"/>
              </w:rPr>
            </w:pPr>
            <w:r>
              <w:rPr>
                <w:rFonts w:hint="eastAsia" w:cs="Arial"/>
                <w:color w:val="000000"/>
                <w:kern w:val="0"/>
                <w:sz w:val="22"/>
                <w:szCs w:val="22"/>
                <w:highlight w:val="none"/>
                <w:lang w:val="en-US" w:eastAsia="zh-CN"/>
              </w:rPr>
              <w:t>1104.88</w:t>
            </w:r>
          </w:p>
        </w:tc>
        <w:tc>
          <w:tcPr>
            <w:tcW w:w="1195"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240.78</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1345.66</w:t>
            </w:r>
          </w:p>
        </w:tc>
        <w:tc>
          <w:tcPr>
            <w:tcW w:w="1225"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1345.66</w:t>
            </w:r>
          </w:p>
        </w:tc>
        <w:tc>
          <w:tcPr>
            <w:tcW w:w="1975" w:type="dxa"/>
            <w:noWrap w:val="0"/>
            <w:vAlign w:val="center"/>
          </w:tcPr>
          <w:p>
            <w:pPr>
              <w:pStyle w:val="40"/>
              <w:jc w:val="center"/>
              <w:rPr>
                <w:highlight w:val="none"/>
              </w:rPr>
            </w:pPr>
            <w:r>
              <w:rPr>
                <w:rFonts w:hint="eastAsia"/>
                <w:highlight w:val="none"/>
              </w:rPr>
              <w:t>1</w:t>
            </w:r>
            <w:r>
              <w:rPr>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52" w:type="dxa"/>
            <w:noWrap w:val="0"/>
            <w:vAlign w:val="center"/>
          </w:tcPr>
          <w:p>
            <w:pPr>
              <w:pStyle w:val="40"/>
              <w:jc w:val="center"/>
              <w:rPr>
                <w:highlight w:val="none"/>
              </w:rPr>
            </w:pPr>
            <w:r>
              <w:rPr>
                <w:highlight w:val="none"/>
              </w:rPr>
              <w:t>人员经费</w:t>
            </w:r>
          </w:p>
        </w:tc>
        <w:tc>
          <w:tcPr>
            <w:tcW w:w="1197" w:type="dxa"/>
            <w:noWrap w:val="0"/>
            <w:vAlign w:val="center"/>
          </w:tcPr>
          <w:p>
            <w:pPr>
              <w:widowControl/>
              <w:jc w:val="center"/>
              <w:rPr>
                <w:rFonts w:hint="default" w:eastAsia="仿宋_GB2312" w:cs="Arial"/>
                <w:color w:val="000000"/>
                <w:kern w:val="0"/>
                <w:sz w:val="22"/>
                <w:szCs w:val="22"/>
                <w:highlight w:val="none"/>
                <w:lang w:val="en-US" w:eastAsia="zh-CN"/>
              </w:rPr>
            </w:pPr>
            <w:r>
              <w:rPr>
                <w:rFonts w:hint="eastAsia" w:cs="Arial"/>
                <w:color w:val="000000"/>
                <w:kern w:val="0"/>
                <w:sz w:val="22"/>
                <w:szCs w:val="22"/>
                <w:highlight w:val="none"/>
                <w:lang w:val="en-US" w:eastAsia="zh-CN"/>
              </w:rPr>
              <w:t>872.44</w:t>
            </w:r>
          </w:p>
        </w:tc>
        <w:tc>
          <w:tcPr>
            <w:tcW w:w="1195"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246.84</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1119.28</w:t>
            </w:r>
          </w:p>
        </w:tc>
        <w:tc>
          <w:tcPr>
            <w:tcW w:w="1225"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1119.28</w:t>
            </w:r>
          </w:p>
        </w:tc>
        <w:tc>
          <w:tcPr>
            <w:tcW w:w="1975" w:type="dxa"/>
            <w:noWrap w:val="0"/>
            <w:vAlign w:val="center"/>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w:t>
            </w:r>
            <w:r>
              <w:rPr>
                <w:rFonts w:hint="default" w:ascii="Times New Roman" w:hAnsi="Times New Roman" w:eastAsia="宋体" w:cs="Times New Roman"/>
                <w:i w:val="0"/>
                <w:color w:val="000000"/>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52" w:type="dxa"/>
            <w:noWrap w:val="0"/>
            <w:vAlign w:val="center"/>
          </w:tcPr>
          <w:p>
            <w:pPr>
              <w:pStyle w:val="40"/>
              <w:jc w:val="center"/>
              <w:rPr>
                <w:highlight w:val="none"/>
              </w:rPr>
            </w:pPr>
            <w:r>
              <w:rPr>
                <w:rFonts w:hint="eastAsia"/>
                <w:highlight w:val="none"/>
              </w:rPr>
              <w:t>公用经费</w:t>
            </w:r>
          </w:p>
        </w:tc>
        <w:tc>
          <w:tcPr>
            <w:tcW w:w="1197" w:type="dxa"/>
            <w:noWrap w:val="0"/>
            <w:vAlign w:val="center"/>
          </w:tcPr>
          <w:p>
            <w:pPr>
              <w:widowControl/>
              <w:jc w:val="center"/>
              <w:rPr>
                <w:rFonts w:hint="default" w:eastAsia="仿宋_GB2312" w:cs="Arial"/>
                <w:color w:val="000000"/>
                <w:kern w:val="0"/>
                <w:sz w:val="22"/>
                <w:szCs w:val="22"/>
                <w:highlight w:val="none"/>
                <w:lang w:val="en-US" w:eastAsia="zh-CN"/>
              </w:rPr>
            </w:pPr>
            <w:r>
              <w:rPr>
                <w:rFonts w:hint="eastAsia" w:cs="Arial"/>
                <w:color w:val="000000"/>
                <w:kern w:val="0"/>
                <w:sz w:val="22"/>
                <w:szCs w:val="22"/>
                <w:highlight w:val="none"/>
                <w:lang w:val="en-US" w:eastAsia="zh-CN"/>
              </w:rPr>
              <w:t>232.44</w:t>
            </w:r>
          </w:p>
        </w:tc>
        <w:tc>
          <w:tcPr>
            <w:tcW w:w="1195"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-6.06</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226.38</w:t>
            </w:r>
          </w:p>
        </w:tc>
        <w:tc>
          <w:tcPr>
            <w:tcW w:w="1225"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226.38</w:t>
            </w:r>
          </w:p>
        </w:tc>
        <w:tc>
          <w:tcPr>
            <w:tcW w:w="1975" w:type="dxa"/>
            <w:noWrap w:val="0"/>
            <w:vAlign w:val="center"/>
          </w:tcPr>
          <w:p>
            <w:pPr>
              <w:keepNext w:val="0"/>
              <w:keepLines w:val="0"/>
              <w:widowControl/>
              <w:suppressLineNumbers w:val="0"/>
              <w:jc w:val="center"/>
              <w:textAlignment w:val="top"/>
              <w:rPr>
                <w:rFonts w:hint="eastAsia"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52" w:type="dxa"/>
            <w:noWrap w:val="0"/>
            <w:vAlign w:val="center"/>
          </w:tcPr>
          <w:p>
            <w:pPr>
              <w:pStyle w:val="40"/>
              <w:jc w:val="center"/>
              <w:rPr>
                <w:highlight w:val="none"/>
              </w:rPr>
            </w:pPr>
            <w:r>
              <w:rPr>
                <w:rFonts w:hint="eastAsia"/>
                <w:highlight w:val="none"/>
              </w:rPr>
              <w:t>二、项目支出</w:t>
            </w:r>
          </w:p>
        </w:tc>
        <w:tc>
          <w:tcPr>
            <w:tcW w:w="1197" w:type="dxa"/>
            <w:noWrap w:val="0"/>
            <w:vAlign w:val="center"/>
          </w:tcPr>
          <w:p>
            <w:pPr>
              <w:widowControl/>
              <w:jc w:val="center"/>
              <w:rPr>
                <w:rFonts w:hint="default" w:eastAsia="仿宋_GB2312" w:cs="Arial"/>
                <w:color w:val="000000"/>
                <w:kern w:val="0"/>
                <w:sz w:val="22"/>
                <w:szCs w:val="22"/>
                <w:highlight w:val="none"/>
                <w:lang w:val="en-US" w:eastAsia="zh-CN"/>
              </w:rPr>
            </w:pPr>
            <w:r>
              <w:rPr>
                <w:rFonts w:hint="eastAsia" w:cs="Arial"/>
                <w:color w:val="000000"/>
                <w:kern w:val="0"/>
                <w:sz w:val="22"/>
                <w:szCs w:val="22"/>
                <w:highlight w:val="none"/>
                <w:lang w:val="en-US" w:eastAsia="zh-CN"/>
              </w:rPr>
              <w:t>13.9</w:t>
            </w:r>
          </w:p>
        </w:tc>
        <w:tc>
          <w:tcPr>
            <w:tcW w:w="1195"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3076.39</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3090.29</w:t>
            </w:r>
          </w:p>
        </w:tc>
        <w:tc>
          <w:tcPr>
            <w:tcW w:w="1225"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top"/>
              <w:rPr>
                <w:rFonts w:hint="default" w:eastAsia="仿宋"/>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3090.29</w:t>
            </w:r>
          </w:p>
        </w:tc>
        <w:tc>
          <w:tcPr>
            <w:tcW w:w="1975" w:type="dxa"/>
            <w:noWrap w:val="0"/>
            <w:vAlign w:val="center"/>
          </w:tcPr>
          <w:p>
            <w:pPr>
              <w:keepNext w:val="0"/>
              <w:keepLines w:val="0"/>
              <w:widowControl/>
              <w:suppressLineNumbers w:val="0"/>
              <w:jc w:val="center"/>
              <w:textAlignment w:val="top"/>
              <w:rPr>
                <w:rFonts w:hint="eastAsia"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52" w:type="dxa"/>
            <w:noWrap w:val="0"/>
            <w:vAlign w:val="center"/>
          </w:tcPr>
          <w:p>
            <w:pPr>
              <w:pStyle w:val="40"/>
              <w:ind w:firstLine="432" w:firstLineChars="200"/>
              <w:jc w:val="center"/>
              <w:rPr>
                <w:highlight w:val="none"/>
              </w:rPr>
            </w:pPr>
            <w:r>
              <w:rPr>
                <w:rFonts w:hint="eastAsia"/>
                <w:b/>
                <w:bCs w:val="0"/>
                <w:highlight w:val="none"/>
              </w:rPr>
              <w:t>总计</w:t>
            </w:r>
          </w:p>
        </w:tc>
        <w:tc>
          <w:tcPr>
            <w:tcW w:w="1197" w:type="dxa"/>
            <w:noWrap w:val="0"/>
            <w:vAlign w:val="center"/>
          </w:tcPr>
          <w:p>
            <w:pPr>
              <w:widowControl/>
              <w:jc w:val="center"/>
              <w:rPr>
                <w:rFonts w:hint="default" w:ascii="Times New Roman" w:hAnsi="Times New Roman" w:cs="Arial"/>
                <w:color w:val="000000"/>
                <w:kern w:val="0"/>
                <w:sz w:val="22"/>
                <w:szCs w:val="22"/>
                <w:highlight w:val="none"/>
                <w:lang w:val="en-US" w:eastAsia="zh-CN"/>
              </w:rPr>
            </w:pPr>
            <w:r>
              <w:rPr>
                <w:rFonts w:hint="eastAsia" w:ascii="Times New Roman" w:hAnsi="Times New Roman" w:cs="Arial"/>
                <w:color w:val="000000"/>
                <w:kern w:val="0"/>
                <w:sz w:val="22"/>
                <w:szCs w:val="22"/>
                <w:highlight w:val="none"/>
                <w:lang w:val="en-US" w:eastAsia="zh-CN"/>
              </w:rPr>
              <w:t>1118.78</w:t>
            </w:r>
          </w:p>
        </w:tc>
        <w:tc>
          <w:tcPr>
            <w:tcW w:w="1195" w:type="dxa"/>
            <w:tcBorders>
              <w:top w:val="nil"/>
              <w:left w:val="nil"/>
              <w:bottom w:val="single" w:color="auto" w:sz="4" w:space="0"/>
              <w:right w:val="single" w:color="auto" w:sz="8" w:space="0"/>
            </w:tcBorders>
            <w:noWrap w:val="0"/>
            <w:vAlign w:val="center"/>
          </w:tcPr>
          <w:p>
            <w:pPr>
              <w:widowControl/>
              <w:jc w:val="center"/>
              <w:rPr>
                <w:rFonts w:hint="eastAsia" w:ascii="Times New Roman" w:hAnsi="Times New Roman" w:cs="Arial"/>
                <w:color w:val="000000"/>
                <w:kern w:val="0"/>
                <w:sz w:val="22"/>
                <w:szCs w:val="22"/>
                <w:highlight w:val="none"/>
                <w:lang w:val="en-US" w:eastAsia="zh-CN"/>
              </w:rPr>
            </w:pPr>
            <w:r>
              <w:rPr>
                <w:rFonts w:hint="default" w:ascii="Times New Roman" w:hAnsi="Times New Roman" w:cs="Arial"/>
                <w:color w:val="000000"/>
                <w:kern w:val="0"/>
                <w:sz w:val="22"/>
                <w:szCs w:val="22"/>
                <w:highlight w:val="none"/>
                <w:lang w:val="en-US" w:eastAsia="zh-CN"/>
              </w:rPr>
              <w:t>3317.17</w:t>
            </w:r>
          </w:p>
        </w:tc>
        <w:tc>
          <w:tcPr>
            <w:tcW w:w="13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Arial"/>
                <w:color w:val="000000"/>
                <w:kern w:val="0"/>
                <w:sz w:val="22"/>
                <w:szCs w:val="22"/>
                <w:highlight w:val="none"/>
                <w:lang w:val="en-US" w:eastAsia="zh-CN"/>
              </w:rPr>
            </w:pPr>
            <w:r>
              <w:rPr>
                <w:rFonts w:hint="default" w:ascii="Times New Roman" w:hAnsi="Times New Roman" w:cs="Arial"/>
                <w:color w:val="000000"/>
                <w:kern w:val="0"/>
                <w:sz w:val="22"/>
                <w:szCs w:val="22"/>
                <w:highlight w:val="none"/>
                <w:lang w:val="en-US" w:eastAsia="zh-CN"/>
              </w:rPr>
              <w:t>4435.95</w:t>
            </w:r>
          </w:p>
        </w:tc>
        <w:tc>
          <w:tcPr>
            <w:tcW w:w="1225"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Times New Roman" w:hAnsi="Times New Roman" w:cs="Arial"/>
                <w:color w:val="000000"/>
                <w:kern w:val="0"/>
                <w:sz w:val="22"/>
                <w:szCs w:val="22"/>
                <w:highlight w:val="none"/>
                <w:lang w:val="en-US" w:eastAsia="zh-CN"/>
              </w:rPr>
            </w:pPr>
            <w:r>
              <w:rPr>
                <w:rFonts w:hint="default" w:ascii="Times New Roman" w:hAnsi="Times New Roman" w:cs="Arial"/>
                <w:color w:val="000000"/>
                <w:kern w:val="0"/>
                <w:sz w:val="22"/>
                <w:szCs w:val="22"/>
                <w:highlight w:val="none"/>
                <w:lang w:val="en-US" w:eastAsia="zh-CN"/>
              </w:rPr>
              <w:t>4435.95</w:t>
            </w:r>
          </w:p>
        </w:tc>
        <w:tc>
          <w:tcPr>
            <w:tcW w:w="1975" w:type="dxa"/>
            <w:noWrap w:val="0"/>
            <w:vAlign w:val="center"/>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100%</w:t>
            </w:r>
          </w:p>
        </w:tc>
      </w:tr>
    </w:tbl>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contextualSpacing/>
        <w:jc w:val="left"/>
        <w:textAlignment w:val="auto"/>
        <w:rPr>
          <w:rFonts w:hint="eastAsia" w:ascii="黑体" w:hAnsi="黑体" w:eastAsia="黑体" w:cs="黑体"/>
          <w:color w:val="000000"/>
          <w:kern w:val="0"/>
          <w:sz w:val="32"/>
          <w:szCs w:val="32"/>
          <w:highlight w:val="none"/>
          <w:shd w:val="clear" w:color="auto" w:fill="FFFFFF"/>
          <w:lang w:val="zh-CN"/>
        </w:rPr>
      </w:pPr>
      <w:r>
        <w:rPr>
          <w:rFonts w:hint="eastAsia" w:ascii="黑体" w:hAnsi="黑体" w:eastAsia="黑体" w:cs="黑体"/>
          <w:color w:val="000000"/>
          <w:kern w:val="0"/>
          <w:sz w:val="32"/>
          <w:szCs w:val="32"/>
          <w:highlight w:val="none"/>
          <w:shd w:val="clear" w:color="auto" w:fill="FFFFFF"/>
          <w:lang w:val="zh-CN"/>
        </w:rPr>
        <w:t>三、部门整体预算绩效管理情况</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方正楷体_GBK" w:hAnsi="方正楷体_GBK" w:eastAsia="方正楷体_GBK" w:cs="方正楷体_GBK"/>
          <w:sz w:val="32"/>
          <w:szCs w:val="32"/>
          <w:highlight w:val="none"/>
          <w:lang w:val="zh-CN"/>
        </w:rPr>
      </w:pPr>
      <w:r>
        <w:rPr>
          <w:rFonts w:hint="eastAsia" w:ascii="方正楷体_GBK" w:hAnsi="方正楷体_GBK" w:eastAsia="方正楷体_GBK" w:cs="方正楷体_GBK"/>
          <w:sz w:val="32"/>
          <w:szCs w:val="32"/>
          <w:highlight w:val="none"/>
          <w:lang w:val="zh-CN"/>
        </w:rPr>
        <w:t>（一）部门预算项目绩效管理</w:t>
      </w:r>
    </w:p>
    <w:p>
      <w:pPr>
        <w:pStyle w:val="38"/>
        <w:keepNext w:val="0"/>
        <w:keepLines w:val="0"/>
        <w:pageBreakBefore w:val="0"/>
        <w:kinsoku/>
        <w:wordWrap/>
        <w:overflowPunct/>
        <w:topLinePunct w:val="0"/>
        <w:autoSpaceDE/>
        <w:autoSpaceDN/>
        <w:bidi w:val="0"/>
        <w:spacing w:line="576" w:lineRule="exact"/>
        <w:ind w:firstLine="632"/>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rPr>
        <w:t>1.部门绩效目标制定</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按照市级部门预算编制通知和绩效目标设置有关要求，按时完成基础库、项目库报送工作。各科室根据预算年度工作目标和工作计划提出下年度预算项目申请，财务科对各科室项目预算进行初审，根据项目的轻重缓急，提出项目预算建议数，先后报分管副校（院）长、常务副校（院）长审阅，并提请校（院）委会研究同意后再上报市财政局。预算编制基本准确。我校于财政年初预算批复后</w:t>
      </w:r>
      <w:r>
        <w:rPr>
          <w:rFonts w:hint="default" w:ascii="仿宋_GB2312" w:hAnsi="仿宋_GB2312" w:eastAsia="仿宋_GB2312" w:cs="仿宋_GB2312"/>
          <w:sz w:val="32"/>
          <w:szCs w:val="32"/>
          <w:highlight w:val="none"/>
        </w:rPr>
        <w:t>二十</w:t>
      </w:r>
      <w:r>
        <w:rPr>
          <w:rFonts w:hint="eastAsia" w:ascii="仿宋_GB2312" w:hAnsi="仿宋_GB2312" w:eastAsia="仿宋_GB2312" w:cs="仿宋_GB2312"/>
          <w:sz w:val="32"/>
          <w:szCs w:val="32"/>
          <w:highlight w:val="none"/>
          <w:lang w:val="en-US" w:eastAsia="zh-CN"/>
        </w:rPr>
        <w:t>日内</w:t>
      </w:r>
      <w:r>
        <w:rPr>
          <w:rFonts w:hint="eastAsia" w:ascii="仿宋_GB2312" w:hAnsi="仿宋_GB2312" w:eastAsia="仿宋_GB2312" w:cs="仿宋_GB2312"/>
          <w:sz w:val="32"/>
          <w:szCs w:val="32"/>
          <w:highlight w:val="none"/>
          <w:lang w:val="zh-CN"/>
        </w:rPr>
        <w:t>在政府网以及我校门户网站进行了预算绩效公开。</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2.目标实现</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2023年我校完成了整体目标，顺利进行办学质量终评，举行了党校系统师资培训，为干部教育提供了良好师资，落实好了保运转相关政策。</w:t>
      </w:r>
    </w:p>
    <w:p>
      <w:pPr>
        <w:pStyle w:val="38"/>
        <w:keepNext w:val="0"/>
        <w:keepLines w:val="0"/>
        <w:pageBreakBefore w:val="0"/>
        <w:kinsoku/>
        <w:wordWrap/>
        <w:overflowPunct/>
        <w:topLinePunct w:val="0"/>
        <w:autoSpaceDE/>
        <w:autoSpaceDN/>
        <w:bidi w:val="0"/>
        <w:spacing w:line="576" w:lineRule="exact"/>
        <w:ind w:left="0" w:leftChars="0" w:firstLine="632"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人员类、运转类完成情况表</w:t>
      </w:r>
    </w:p>
    <w:tbl>
      <w:tblPr>
        <w:tblStyle w:val="16"/>
        <w:tblW w:w="94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318"/>
        <w:gridCol w:w="1286"/>
        <w:gridCol w:w="1636"/>
        <w:gridCol w:w="238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32" w:type="dxa"/>
            <w:noWrap w:val="0"/>
            <w:vAlign w:val="center"/>
          </w:tcPr>
          <w:p>
            <w:pPr>
              <w:pStyle w:val="40"/>
              <w:jc w:val="center"/>
              <w:rPr>
                <w:b w:val="0"/>
                <w:bCs/>
                <w:highlight w:val="none"/>
              </w:rPr>
            </w:pPr>
            <w:r>
              <w:rPr>
                <w:rFonts w:hint="eastAsia"/>
                <w:b w:val="0"/>
                <w:bCs/>
                <w:highlight w:val="none"/>
              </w:rPr>
              <w:t>项目名称</w:t>
            </w:r>
          </w:p>
        </w:tc>
        <w:tc>
          <w:tcPr>
            <w:tcW w:w="1318" w:type="dxa"/>
            <w:noWrap w:val="0"/>
            <w:vAlign w:val="center"/>
          </w:tcPr>
          <w:p>
            <w:pPr>
              <w:pStyle w:val="40"/>
              <w:jc w:val="center"/>
              <w:rPr>
                <w:b w:val="0"/>
                <w:bCs/>
                <w:highlight w:val="none"/>
              </w:rPr>
            </w:pPr>
            <w:r>
              <w:rPr>
                <w:b w:val="0"/>
                <w:bCs/>
                <w:highlight w:val="none"/>
              </w:rPr>
              <w:t>年</w:t>
            </w:r>
            <w:r>
              <w:rPr>
                <w:rFonts w:hint="eastAsia"/>
                <w:b w:val="0"/>
                <w:bCs/>
                <w:highlight w:val="none"/>
                <w:lang w:eastAsia="zh-CN"/>
              </w:rPr>
              <w:t>初</w:t>
            </w:r>
            <w:r>
              <w:rPr>
                <w:b w:val="0"/>
                <w:bCs/>
                <w:highlight w:val="none"/>
              </w:rPr>
              <w:t>预算</w:t>
            </w:r>
            <w:r>
              <w:rPr>
                <w:rFonts w:hint="eastAsia"/>
                <w:b/>
                <w:bCs w:val="0"/>
                <w:highlight w:val="none"/>
                <w:lang w:eastAsia="zh-CN"/>
              </w:rPr>
              <w:t>（万元）</w:t>
            </w:r>
          </w:p>
        </w:tc>
        <w:tc>
          <w:tcPr>
            <w:tcW w:w="1286" w:type="dxa"/>
            <w:noWrap w:val="0"/>
            <w:vAlign w:val="center"/>
          </w:tcPr>
          <w:p>
            <w:pPr>
              <w:pStyle w:val="40"/>
              <w:jc w:val="both"/>
              <w:rPr>
                <w:rFonts w:hint="eastAsia" w:eastAsia="仿宋"/>
                <w:b w:val="0"/>
                <w:bCs/>
                <w:highlight w:val="none"/>
                <w:lang w:eastAsia="zh-CN"/>
              </w:rPr>
            </w:pPr>
            <w:r>
              <w:rPr>
                <w:rFonts w:hint="eastAsia"/>
                <w:b w:val="0"/>
                <w:bCs/>
                <w:highlight w:val="none"/>
                <w:lang w:eastAsia="zh-CN"/>
              </w:rPr>
              <w:t>目标任务</w:t>
            </w:r>
          </w:p>
        </w:tc>
        <w:tc>
          <w:tcPr>
            <w:tcW w:w="1636" w:type="dxa"/>
            <w:tcBorders>
              <w:bottom w:val="single" w:color="auto" w:sz="4" w:space="0"/>
            </w:tcBorders>
            <w:noWrap w:val="0"/>
            <w:vAlign w:val="center"/>
          </w:tcPr>
          <w:p>
            <w:pPr>
              <w:pStyle w:val="40"/>
              <w:jc w:val="both"/>
              <w:rPr>
                <w:rFonts w:hint="eastAsia" w:eastAsia="仿宋"/>
                <w:b w:val="0"/>
                <w:bCs/>
                <w:highlight w:val="none"/>
                <w:lang w:eastAsia="zh-CN"/>
              </w:rPr>
            </w:pPr>
            <w:r>
              <w:rPr>
                <w:rFonts w:hint="eastAsia"/>
                <w:b w:val="0"/>
                <w:bCs/>
                <w:highlight w:val="none"/>
                <w:lang w:eastAsia="zh-CN"/>
              </w:rPr>
              <w:t>年度预算总额</w:t>
            </w:r>
            <w:r>
              <w:rPr>
                <w:rFonts w:hint="eastAsia"/>
                <w:b/>
                <w:bCs w:val="0"/>
                <w:highlight w:val="none"/>
                <w:lang w:eastAsia="zh-CN"/>
              </w:rPr>
              <w:t>（万元）</w:t>
            </w:r>
          </w:p>
        </w:tc>
        <w:tc>
          <w:tcPr>
            <w:tcW w:w="2382" w:type="dxa"/>
            <w:tcBorders>
              <w:bottom w:val="single" w:color="auto" w:sz="4" w:space="0"/>
            </w:tcBorders>
            <w:noWrap w:val="0"/>
            <w:vAlign w:val="center"/>
          </w:tcPr>
          <w:p>
            <w:pPr>
              <w:pStyle w:val="40"/>
              <w:jc w:val="center"/>
              <w:rPr>
                <w:rFonts w:hint="eastAsia" w:eastAsia="仿宋"/>
                <w:b w:val="0"/>
                <w:bCs/>
                <w:highlight w:val="none"/>
                <w:lang w:eastAsia="zh-CN"/>
              </w:rPr>
            </w:pPr>
            <w:r>
              <w:rPr>
                <w:rFonts w:hint="eastAsia"/>
                <w:b w:val="0"/>
                <w:bCs/>
                <w:highlight w:val="none"/>
                <w:lang w:eastAsia="zh-CN"/>
              </w:rPr>
              <w:t>目标完成情况</w:t>
            </w:r>
          </w:p>
        </w:tc>
        <w:tc>
          <w:tcPr>
            <w:tcW w:w="1163" w:type="dxa"/>
            <w:noWrap w:val="0"/>
            <w:vAlign w:val="center"/>
          </w:tcPr>
          <w:p>
            <w:pPr>
              <w:pStyle w:val="40"/>
              <w:jc w:val="center"/>
              <w:rPr>
                <w:rFonts w:hint="eastAsia" w:eastAsia="仿宋"/>
                <w:b w:val="0"/>
                <w:bCs/>
                <w:highlight w:val="none"/>
                <w:lang w:eastAsia="zh-CN"/>
              </w:rPr>
            </w:pPr>
            <w:r>
              <w:rPr>
                <w:rFonts w:hint="eastAsia"/>
                <w:b w:val="0"/>
                <w:bCs/>
                <w:highlight w:val="none"/>
                <w:lang w:eastAsia="zh-CN"/>
              </w:rPr>
              <w:t>预算执行</w:t>
            </w:r>
            <w:r>
              <w:rPr>
                <w:rFonts w:hint="eastAsia"/>
                <w:b/>
                <w:bCs w:val="0"/>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632" w:type="dxa"/>
            <w:noWrap w:val="0"/>
            <w:vAlign w:val="center"/>
          </w:tcPr>
          <w:p>
            <w:pPr>
              <w:pStyle w:val="40"/>
              <w:jc w:val="center"/>
              <w:rPr>
                <w:rFonts w:hint="default" w:ascii="Times New Roman" w:hAnsi="Times New Roman" w:eastAsia="仿宋"/>
                <w:b w:val="0"/>
                <w:bCs/>
                <w:highlight w:val="none"/>
                <w:lang w:val="en-US" w:eastAsia="zh-CN"/>
              </w:rPr>
            </w:pPr>
            <w:r>
              <w:rPr>
                <w:rFonts w:hint="eastAsia" w:ascii="Times New Roman" w:hAnsi="Times New Roman" w:eastAsia="仿宋"/>
                <w:b w:val="0"/>
                <w:bCs/>
                <w:highlight w:val="none"/>
                <w:lang w:val="en-US" w:eastAsia="zh-CN"/>
              </w:rPr>
              <w:t>人员类</w:t>
            </w:r>
          </w:p>
        </w:tc>
        <w:tc>
          <w:tcPr>
            <w:tcW w:w="1318" w:type="dxa"/>
            <w:noWrap w:val="0"/>
            <w:vAlign w:val="center"/>
          </w:tcPr>
          <w:p>
            <w:pPr>
              <w:pStyle w:val="40"/>
              <w:jc w:val="center"/>
              <w:rPr>
                <w:rFonts w:hint="default" w:ascii="Times New Roman" w:hAnsi="Times New Roman" w:eastAsia="仿宋"/>
                <w:b w:val="0"/>
                <w:bCs/>
                <w:highlight w:val="none"/>
                <w:lang w:val="en-US" w:eastAsia="zh-CN"/>
              </w:rPr>
            </w:pPr>
            <w:r>
              <w:rPr>
                <w:rFonts w:hint="eastAsia" w:cs="Arial"/>
                <w:color w:val="000000"/>
                <w:kern w:val="0"/>
                <w:sz w:val="22"/>
                <w:szCs w:val="22"/>
                <w:highlight w:val="none"/>
                <w:lang w:val="en-US" w:eastAsia="zh-CN"/>
              </w:rPr>
              <w:t>872.44</w:t>
            </w:r>
          </w:p>
        </w:tc>
        <w:tc>
          <w:tcPr>
            <w:tcW w:w="1286" w:type="dxa"/>
            <w:tcBorders>
              <w:top w:val="nil"/>
              <w:left w:val="nil"/>
              <w:bottom w:val="single" w:color="auto" w:sz="4" w:space="0"/>
              <w:right w:val="single" w:color="auto" w:sz="8" w:space="0"/>
            </w:tcBorders>
            <w:noWrap w:val="0"/>
            <w:vAlign w:val="center"/>
          </w:tcPr>
          <w:p>
            <w:pPr>
              <w:pStyle w:val="40"/>
              <w:jc w:val="center"/>
              <w:rPr>
                <w:rFonts w:hint="default" w:ascii="Times New Roman" w:hAnsi="Times New Roman" w:eastAsia="仿宋"/>
                <w:b w:val="0"/>
                <w:bCs/>
                <w:highlight w:val="none"/>
                <w:lang w:val="en-US" w:eastAsia="zh-CN"/>
              </w:rPr>
            </w:pPr>
            <w:r>
              <w:rPr>
                <w:rFonts w:hint="eastAsia" w:ascii="Times New Roman" w:hAnsi="Times New Roman"/>
                <w:b w:val="0"/>
                <w:bCs/>
                <w:highlight w:val="none"/>
                <w:lang w:val="en-US" w:eastAsia="zh-CN"/>
              </w:rPr>
              <w:t>保工资</w:t>
            </w:r>
          </w:p>
        </w:tc>
        <w:tc>
          <w:tcPr>
            <w:tcW w:w="1636" w:type="dxa"/>
            <w:tcBorders>
              <w:top w:val="single" w:color="auto" w:sz="4" w:space="0"/>
              <w:left w:val="nil"/>
              <w:bottom w:val="single" w:color="auto" w:sz="4" w:space="0"/>
              <w:right w:val="single" w:color="auto" w:sz="4" w:space="0"/>
            </w:tcBorders>
            <w:noWrap w:val="0"/>
            <w:vAlign w:val="center"/>
          </w:tcPr>
          <w:p>
            <w:pPr>
              <w:pStyle w:val="40"/>
              <w:jc w:val="center"/>
              <w:rPr>
                <w:rFonts w:hint="default" w:ascii="Times New Roman" w:hAnsi="Times New Roman" w:eastAsia="仿宋"/>
                <w:b w:val="0"/>
                <w:bCs/>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1119.28</w:t>
            </w:r>
          </w:p>
        </w:tc>
        <w:tc>
          <w:tcPr>
            <w:tcW w:w="2382" w:type="dxa"/>
            <w:tcBorders>
              <w:top w:val="single" w:color="auto" w:sz="4" w:space="0"/>
              <w:left w:val="single" w:color="auto" w:sz="4" w:space="0"/>
              <w:bottom w:val="single" w:color="auto" w:sz="4" w:space="0"/>
              <w:right w:val="nil"/>
            </w:tcBorders>
            <w:noWrap w:val="0"/>
            <w:vAlign w:val="center"/>
          </w:tcPr>
          <w:p>
            <w:pPr>
              <w:pStyle w:val="40"/>
              <w:jc w:val="center"/>
              <w:rPr>
                <w:rFonts w:hint="default" w:ascii="Times New Roman" w:hAnsi="Times New Roman" w:eastAsia="仿宋"/>
                <w:b w:val="0"/>
                <w:bCs/>
                <w:highlight w:val="none"/>
                <w:lang w:val="en-US" w:eastAsia="zh-CN"/>
              </w:rPr>
            </w:pPr>
            <w:r>
              <w:rPr>
                <w:rFonts w:hint="eastAsia" w:ascii="Times New Roman" w:hAnsi="Times New Roman"/>
                <w:b w:val="0"/>
                <w:bCs/>
                <w:highlight w:val="none"/>
                <w:lang w:val="en-US" w:eastAsia="zh-CN"/>
              </w:rPr>
              <w:t>有效保障人员工资，按时支付。</w:t>
            </w:r>
          </w:p>
        </w:tc>
        <w:tc>
          <w:tcPr>
            <w:tcW w:w="1163" w:type="dxa"/>
            <w:noWrap w:val="0"/>
            <w:vAlign w:val="center"/>
          </w:tcPr>
          <w:p>
            <w:pPr>
              <w:pStyle w:val="40"/>
              <w:ind w:firstLine="0" w:firstLineChars="0"/>
              <w:jc w:val="center"/>
              <w:rPr>
                <w:rFonts w:hint="default" w:ascii="Times New Roman" w:hAnsi="Times New Roman" w:eastAsia="仿宋"/>
                <w:b w:val="0"/>
                <w:bCs/>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1119.28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632" w:type="dxa"/>
            <w:noWrap w:val="0"/>
            <w:vAlign w:val="center"/>
          </w:tcPr>
          <w:p>
            <w:pPr>
              <w:pStyle w:val="40"/>
              <w:jc w:val="center"/>
              <w:rPr>
                <w:rFonts w:hint="eastAsia" w:ascii="Times New Roman" w:hAnsi="Times New Roman" w:eastAsia="仿宋"/>
                <w:b w:val="0"/>
                <w:bCs/>
                <w:highlight w:val="none"/>
                <w:lang w:val="en-US" w:eastAsia="zh-CN"/>
              </w:rPr>
            </w:pPr>
            <w:r>
              <w:rPr>
                <w:rFonts w:hint="eastAsia" w:ascii="Times New Roman" w:hAnsi="Times New Roman" w:eastAsia="仿宋"/>
                <w:b w:val="0"/>
                <w:bCs/>
                <w:highlight w:val="none"/>
                <w:lang w:val="en-US" w:eastAsia="zh-CN"/>
              </w:rPr>
              <w:t>运转类</w:t>
            </w:r>
          </w:p>
        </w:tc>
        <w:tc>
          <w:tcPr>
            <w:tcW w:w="1318" w:type="dxa"/>
            <w:noWrap w:val="0"/>
            <w:vAlign w:val="center"/>
          </w:tcPr>
          <w:p>
            <w:pPr>
              <w:pStyle w:val="40"/>
              <w:jc w:val="center"/>
              <w:rPr>
                <w:rFonts w:hint="default" w:ascii="Times New Roman" w:hAnsi="Times New Roman" w:eastAsia="仿宋"/>
                <w:b w:val="0"/>
                <w:bCs/>
                <w:highlight w:val="none"/>
                <w:lang w:val="en-US" w:eastAsia="zh-CN"/>
              </w:rPr>
            </w:pPr>
            <w:r>
              <w:rPr>
                <w:rFonts w:hint="eastAsia" w:cs="Arial"/>
                <w:color w:val="000000"/>
                <w:kern w:val="0"/>
                <w:sz w:val="22"/>
                <w:szCs w:val="22"/>
                <w:highlight w:val="none"/>
                <w:lang w:val="en-US" w:eastAsia="zh-CN"/>
              </w:rPr>
              <w:t>232.44</w:t>
            </w:r>
          </w:p>
        </w:tc>
        <w:tc>
          <w:tcPr>
            <w:tcW w:w="1286" w:type="dxa"/>
            <w:tcBorders>
              <w:top w:val="nil"/>
              <w:left w:val="nil"/>
              <w:bottom w:val="single" w:color="auto" w:sz="4" w:space="0"/>
              <w:right w:val="single" w:color="auto" w:sz="8" w:space="0"/>
            </w:tcBorders>
            <w:noWrap w:val="0"/>
            <w:vAlign w:val="center"/>
          </w:tcPr>
          <w:p>
            <w:pPr>
              <w:pStyle w:val="40"/>
              <w:jc w:val="center"/>
              <w:rPr>
                <w:rFonts w:hint="default" w:ascii="Times New Roman" w:hAnsi="Times New Roman" w:eastAsia="仿宋"/>
                <w:b w:val="0"/>
                <w:bCs/>
                <w:highlight w:val="none"/>
                <w:lang w:val="en-US" w:eastAsia="zh-CN"/>
              </w:rPr>
            </w:pPr>
            <w:r>
              <w:rPr>
                <w:rFonts w:hint="eastAsia" w:ascii="Times New Roman" w:hAnsi="Times New Roman"/>
                <w:b w:val="0"/>
                <w:bCs/>
                <w:highlight w:val="none"/>
                <w:lang w:val="en-US" w:eastAsia="zh-CN"/>
              </w:rPr>
              <w:t>保运转</w:t>
            </w:r>
          </w:p>
        </w:tc>
        <w:tc>
          <w:tcPr>
            <w:tcW w:w="1636" w:type="dxa"/>
            <w:tcBorders>
              <w:top w:val="single" w:color="auto" w:sz="4" w:space="0"/>
              <w:left w:val="nil"/>
              <w:bottom w:val="single" w:color="auto" w:sz="4" w:space="0"/>
              <w:right w:val="single" w:color="auto" w:sz="4" w:space="0"/>
            </w:tcBorders>
            <w:noWrap w:val="0"/>
            <w:vAlign w:val="center"/>
          </w:tcPr>
          <w:p>
            <w:pPr>
              <w:pStyle w:val="40"/>
              <w:jc w:val="center"/>
              <w:rPr>
                <w:rFonts w:hint="default" w:ascii="Times New Roman" w:hAnsi="Times New Roman" w:eastAsia="仿宋"/>
                <w:b w:val="0"/>
                <w:bCs/>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226.38</w:t>
            </w:r>
          </w:p>
        </w:tc>
        <w:tc>
          <w:tcPr>
            <w:tcW w:w="2382" w:type="dxa"/>
            <w:tcBorders>
              <w:top w:val="single" w:color="auto" w:sz="4" w:space="0"/>
              <w:left w:val="single" w:color="auto" w:sz="4" w:space="0"/>
              <w:bottom w:val="single" w:color="auto" w:sz="4" w:space="0"/>
              <w:right w:val="nil"/>
            </w:tcBorders>
            <w:noWrap w:val="0"/>
            <w:vAlign w:val="center"/>
          </w:tcPr>
          <w:p>
            <w:pPr>
              <w:pStyle w:val="40"/>
              <w:jc w:val="center"/>
              <w:rPr>
                <w:rFonts w:hint="default" w:ascii="Times New Roman" w:hAnsi="Times New Roman" w:eastAsia="仿宋"/>
                <w:b w:val="0"/>
                <w:bCs/>
                <w:highlight w:val="none"/>
                <w:lang w:val="en-US" w:eastAsia="zh-CN"/>
              </w:rPr>
            </w:pPr>
            <w:r>
              <w:rPr>
                <w:rFonts w:hint="eastAsia" w:ascii="Times New Roman" w:hAnsi="Times New Roman"/>
                <w:b w:val="0"/>
                <w:bCs/>
                <w:highlight w:val="none"/>
                <w:lang w:val="en-US" w:eastAsia="zh-CN"/>
              </w:rPr>
              <w:t>保障新校园运转</w:t>
            </w:r>
          </w:p>
        </w:tc>
        <w:tc>
          <w:tcPr>
            <w:tcW w:w="1163" w:type="dxa"/>
            <w:noWrap w:val="0"/>
            <w:vAlign w:val="center"/>
          </w:tcPr>
          <w:p>
            <w:pPr>
              <w:pStyle w:val="40"/>
              <w:ind w:firstLine="0" w:firstLineChars="0"/>
              <w:jc w:val="center"/>
              <w:rPr>
                <w:rFonts w:hint="default" w:ascii="Times New Roman" w:hAnsi="Times New Roman" w:eastAsia="仿宋"/>
                <w:b w:val="0"/>
                <w:bCs/>
                <w:highlight w:val="none"/>
                <w:lang w:val="en-US" w:eastAsia="zh-CN"/>
              </w:rPr>
            </w:pPr>
            <w:r>
              <w:rPr>
                <w:rFonts w:hint="default" w:ascii="Times New Roman" w:hAnsi="Times New Roman" w:eastAsia="宋体" w:cs="Times New Roman"/>
                <w:i w:val="0"/>
                <w:color w:val="000000"/>
                <w:kern w:val="0"/>
                <w:sz w:val="22"/>
                <w:szCs w:val="22"/>
                <w:highlight w:val="none"/>
                <w:u w:val="none"/>
                <w:lang w:val="en-US" w:eastAsia="zh-CN" w:bidi="ar"/>
              </w:rPr>
              <w:t>226.38</w:t>
            </w:r>
          </w:p>
        </w:tc>
      </w:tr>
    </w:tbl>
    <w:p>
      <w:pPr>
        <w:pStyle w:val="38"/>
        <w:spacing w:line="320" w:lineRule="exact"/>
        <w:ind w:left="0" w:leftChars="0" w:firstLine="412" w:firstLineChars="200"/>
        <w:jc w:val="center"/>
        <w:rPr>
          <w:rFonts w:hint="eastAsia" w:ascii="Times New Roman" w:hAnsi="Times New Roman" w:cs="Times New Roman"/>
          <w:highlight w:val="none"/>
          <w:lang w:val="zh-CN" w:eastAsia="zh-CN"/>
        </w:rPr>
      </w:pPr>
    </w:p>
    <w:p>
      <w:pPr>
        <w:pStyle w:val="38"/>
        <w:spacing w:line="320" w:lineRule="exact"/>
        <w:ind w:left="0" w:leftChars="0" w:firstLine="412" w:firstLineChars="200"/>
        <w:jc w:val="center"/>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特定目标类完成情况表</w:t>
      </w:r>
    </w:p>
    <w:tbl>
      <w:tblPr>
        <w:tblStyle w:val="16"/>
        <w:tblpPr w:leftFromText="180" w:rightFromText="180" w:vertAnchor="text" w:horzAnchor="page" w:tblpX="1125" w:tblpY="492"/>
        <w:tblOverlap w:val="never"/>
        <w:tblW w:w="10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2"/>
        <w:gridCol w:w="4208"/>
        <w:gridCol w:w="1657"/>
        <w:gridCol w:w="1134"/>
        <w:gridCol w:w="1214"/>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项目名称</w:t>
            </w:r>
          </w:p>
        </w:tc>
        <w:tc>
          <w:tcPr>
            <w:tcW w:w="4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绩效目标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数量指标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目标值</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完成值</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　专项科研经费补助</w:t>
            </w:r>
          </w:p>
        </w:tc>
        <w:tc>
          <w:tcPr>
            <w:tcW w:w="4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　完成《理论视点》的编辑、审核、校对工作；校内课题的立项工作，立项评审工作；</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《理论视点》编撰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5</w:t>
            </w:r>
            <w:r>
              <w:rPr>
                <w:rFonts w:ascii="方正书宋_GBK" w:hAnsi="方正书宋_GBK" w:eastAsia="方正书宋_GBK" w:cs="方正书宋_GBK"/>
                <w:i w:val="0"/>
                <w:color w:val="000000"/>
                <w:kern w:val="0"/>
                <w:sz w:val="22"/>
                <w:szCs w:val="22"/>
                <w:highlight w:val="none"/>
                <w:u w:val="none"/>
                <w:lang w:val="en-US" w:eastAsia="zh-CN" w:bidi="ar"/>
              </w:rPr>
              <w:t>期</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eastAsia="zh-CN" w:bidi="ar"/>
              </w:rPr>
              <w:t>6</w:t>
            </w:r>
            <w:r>
              <w:rPr>
                <w:rFonts w:hint="default" w:ascii="仿宋" w:hAnsi="仿宋" w:eastAsia="仿宋" w:cs="仿宋"/>
                <w:i w:val="0"/>
                <w:color w:val="000000"/>
                <w:kern w:val="0"/>
                <w:sz w:val="22"/>
                <w:szCs w:val="22"/>
                <w:highlight w:val="none"/>
                <w:u w:val="none"/>
                <w:lang w:val="en-US" w:eastAsia="zh-CN" w:bidi="ar"/>
              </w:rPr>
              <w:t>期</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eastAsia="zh-CN" w:bidi="ar"/>
              </w:rPr>
              <w:t>120</w:t>
            </w:r>
            <w:r>
              <w:rPr>
                <w:rFonts w:hint="default" w:ascii="仿宋" w:hAnsi="仿宋" w:eastAsia="仿宋" w:cs="仿宋"/>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4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学术活动</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 xml:space="preserve">1次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eastAsia="zh-CN" w:bidi="ar"/>
              </w:rPr>
              <w:t>2</w:t>
            </w:r>
            <w:r>
              <w:rPr>
                <w:rFonts w:hint="default" w:ascii="Times New Roman" w:hAnsi="Times New Roman" w:eastAsia="宋体" w:cs="Times New Roman"/>
                <w:i w:val="0"/>
                <w:color w:val="000000"/>
                <w:kern w:val="0"/>
                <w:sz w:val="22"/>
                <w:szCs w:val="22"/>
                <w:highlight w:val="none"/>
                <w:u w:val="none"/>
                <w:lang w:val="en-US" w:eastAsia="zh-CN" w:bidi="ar"/>
              </w:rPr>
              <w:t xml:space="preserve">次 </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eastAsia="zh-CN" w:bidi="ar"/>
              </w:rPr>
              <w:t>200</w:t>
            </w:r>
            <w:r>
              <w:rPr>
                <w:rFonts w:hint="default" w:ascii="仿宋" w:hAnsi="仿宋" w:eastAsia="仿宋" w:cs="仿宋"/>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4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提能培训</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r>
              <w:rPr>
                <w:rFonts w:ascii="方正书宋_GBK" w:hAnsi="方正书宋_GBK" w:eastAsia="方正书宋_GBK" w:cs="方正书宋_GBK"/>
                <w:i w:val="0"/>
                <w:color w:val="000000"/>
                <w:kern w:val="0"/>
                <w:sz w:val="22"/>
                <w:szCs w:val="22"/>
                <w:highlight w:val="none"/>
                <w:u w:val="none"/>
                <w:lang w:val="en-US" w:eastAsia="zh-CN" w:bidi="ar"/>
              </w:rPr>
              <w:t>次</w:t>
            </w:r>
            <w:r>
              <w:rPr>
                <w:rFonts w:hint="default" w:ascii="Times New Roman" w:hAnsi="Times New Roman" w:eastAsia="宋体" w:cs="Times New Roman"/>
                <w:i w:val="0"/>
                <w:color w:val="000000"/>
                <w:kern w:val="0"/>
                <w:sz w:val="22"/>
                <w:szCs w:val="22"/>
                <w:highlight w:val="none"/>
                <w:u w:val="none"/>
                <w:lang w:val="en-US" w:eastAsia="zh-CN" w:bidi="ar"/>
              </w:rPr>
              <w:t xml:space="preserve"> </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2"/>
                <w:szCs w:val="22"/>
                <w:highlight w:val="none"/>
                <w:u w:val="none"/>
              </w:rPr>
            </w:pPr>
            <w:r>
              <w:rPr>
                <w:rFonts w:ascii="方正书宋_GBK" w:hAnsi="方正书宋_GBK" w:eastAsia="方正书宋_GBK" w:cs="方正书宋_GBK"/>
                <w:i w:val="0"/>
                <w:color w:val="000000"/>
                <w:kern w:val="0"/>
                <w:sz w:val="22"/>
                <w:szCs w:val="22"/>
                <w:highlight w:val="none"/>
                <w:u w:val="none"/>
                <w:lang w:eastAsia="zh-CN" w:bidi="ar"/>
              </w:rPr>
              <w:t>2</w:t>
            </w:r>
            <w:r>
              <w:rPr>
                <w:rFonts w:ascii="方正书宋_GBK" w:hAnsi="方正书宋_GBK" w:eastAsia="方正书宋_GBK" w:cs="方正书宋_GBK"/>
                <w:i w:val="0"/>
                <w:color w:val="000000"/>
                <w:kern w:val="0"/>
                <w:sz w:val="22"/>
                <w:szCs w:val="22"/>
                <w:highlight w:val="none"/>
                <w:u w:val="none"/>
                <w:lang w:val="en-US" w:eastAsia="zh-CN" w:bidi="ar"/>
              </w:rPr>
              <w:t>次</w:t>
            </w:r>
            <w:r>
              <w:rPr>
                <w:rFonts w:hint="default" w:ascii="Times New Roman" w:hAnsi="Times New Roman" w:eastAsia="宋体" w:cs="Times New Roman"/>
                <w:i w:val="0"/>
                <w:color w:val="000000"/>
                <w:kern w:val="0"/>
                <w:sz w:val="22"/>
                <w:szCs w:val="22"/>
                <w:highlight w:val="none"/>
                <w:u w:val="none"/>
                <w:lang w:val="en-US" w:eastAsia="zh-CN" w:bidi="ar"/>
              </w:rPr>
              <w:t xml:space="preserve"> </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eastAsia="zh-CN" w:bidi="ar"/>
              </w:rPr>
              <w:t>200</w:t>
            </w:r>
            <w:r>
              <w:rPr>
                <w:rFonts w:hint="default" w:ascii="仿宋" w:hAnsi="仿宋" w:eastAsia="仿宋" w:cs="仿宋"/>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4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调研课题立项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8项</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45</w:t>
            </w:r>
            <w:r>
              <w:rPr>
                <w:rFonts w:hint="eastAsia" w:ascii="Times New Roman" w:hAnsi="Times New Roman" w:eastAsia="宋体" w:cs="Times New Roman"/>
                <w:i w:val="0"/>
                <w:color w:val="000000"/>
                <w:kern w:val="0"/>
                <w:sz w:val="22"/>
                <w:szCs w:val="22"/>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关心下一代项目</w:t>
            </w:r>
          </w:p>
        </w:tc>
        <w:tc>
          <w:tcPr>
            <w:tcW w:w="4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通过开展爱国主义教育、法制教育和关爱活动等关心下一代工作，达到营造青少年健康成长环境、强化青少年爱党爱国爱社会主义深厚情怀、教育引导青少年知法守法懂法用法主动宣传法律法规、和青少年特殊群体不失爱、不失管、不失学、不失志和营造青少年健康成长环境，确保青少年健康、茁壮成长，培养合格的社会主义接班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赠送红色书籍55人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55人</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88</w:t>
            </w:r>
            <w:r>
              <w:rPr>
                <w:rFonts w:hint="default" w:ascii="仿宋" w:hAnsi="仿宋" w:eastAsia="仿宋" w:cs="仿宋"/>
                <w:i w:val="0"/>
                <w:color w:val="000000"/>
                <w:kern w:val="0"/>
                <w:sz w:val="22"/>
                <w:szCs w:val="22"/>
                <w:highlight w:val="none"/>
                <w:u w:val="none"/>
                <w:lang w:val="en-US" w:eastAsia="zh-CN" w:bidi="ar"/>
              </w:rPr>
              <w:t xml:space="preserve">人 </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1</w:t>
            </w:r>
            <w:r>
              <w:rPr>
                <w:rFonts w:hint="eastAsia" w:ascii="仿宋" w:hAnsi="仿宋" w:eastAsia="仿宋" w:cs="仿宋"/>
                <w:i w:val="0"/>
                <w:color w:val="000000"/>
                <w:kern w:val="0"/>
                <w:sz w:val="22"/>
                <w:szCs w:val="22"/>
                <w:highlight w:val="none"/>
                <w:u w:val="none"/>
                <w:lang w:val="en-US" w:eastAsia="zh-CN" w:bidi="ar"/>
              </w:rPr>
              <w:t>60</w:t>
            </w:r>
            <w:r>
              <w:rPr>
                <w:rFonts w:hint="default" w:ascii="仿宋" w:hAnsi="仿宋" w:eastAsia="仿宋" w:cs="仿宋"/>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4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慰问留守儿童、困难家庭儿童26人次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26人次</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34人次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电信网络服务</w:t>
            </w:r>
          </w:p>
        </w:tc>
        <w:tc>
          <w:tcPr>
            <w:tcW w:w="4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left"/>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1</w:t>
            </w:r>
            <w:r>
              <w:rPr>
                <w:rFonts w:hint="eastAsia" w:ascii="仿宋" w:hAnsi="仿宋" w:eastAsia="仿宋" w:cs="仿宋"/>
                <w:i w:val="0"/>
                <w:color w:val="000000"/>
                <w:kern w:val="0"/>
                <w:sz w:val="22"/>
                <w:szCs w:val="22"/>
                <w:highlight w:val="none"/>
                <w:u w:val="none"/>
                <w:lang w:val="en-US" w:eastAsia="zh-CN" w:bidi="ar"/>
              </w:rPr>
              <w:t>.</w:t>
            </w:r>
            <w:r>
              <w:rPr>
                <w:rFonts w:hint="default" w:ascii="仿宋" w:hAnsi="仿宋" w:eastAsia="仿宋" w:cs="仿宋"/>
                <w:i w:val="0"/>
                <w:color w:val="000000"/>
                <w:kern w:val="0"/>
                <w:sz w:val="22"/>
                <w:szCs w:val="22"/>
                <w:highlight w:val="none"/>
                <w:u w:val="none"/>
                <w:lang w:val="en-US" w:eastAsia="zh-CN" w:bidi="ar"/>
              </w:rPr>
              <w:t>确保互联网络的畅通；2</w:t>
            </w:r>
            <w:r>
              <w:rPr>
                <w:rFonts w:hint="eastAsia" w:ascii="仿宋" w:hAnsi="仿宋" w:eastAsia="仿宋" w:cs="仿宋"/>
                <w:i w:val="0"/>
                <w:color w:val="000000"/>
                <w:kern w:val="0"/>
                <w:sz w:val="22"/>
                <w:szCs w:val="22"/>
                <w:highlight w:val="none"/>
                <w:u w:val="none"/>
                <w:lang w:val="en-US" w:eastAsia="zh-CN" w:bidi="ar"/>
              </w:rPr>
              <w:t>.</w:t>
            </w:r>
            <w:r>
              <w:rPr>
                <w:rFonts w:hint="default" w:ascii="仿宋" w:hAnsi="仿宋" w:eastAsia="仿宋" w:cs="仿宋"/>
                <w:i w:val="0"/>
                <w:color w:val="000000"/>
                <w:kern w:val="0"/>
                <w:sz w:val="22"/>
                <w:szCs w:val="22"/>
                <w:highlight w:val="none"/>
                <w:u w:val="none"/>
                <w:lang w:val="en-US" w:eastAsia="zh-CN" w:bidi="ar"/>
              </w:rPr>
              <w:t>确保接入省委党校的专线畅通。保障办公、教学用网。</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接入互联网服务，接入省委党校专线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1年</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1年</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4" w:hRule="atLeast"/>
        </w:trPr>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县区统筹办班培训费</w:t>
            </w:r>
          </w:p>
        </w:tc>
        <w:tc>
          <w:tcPr>
            <w:tcW w:w="4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left"/>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承办船山区、安居区、大英县的进修班、专题研讨班、培训班及其他班次，全面提升参训干部政治思想素质和履行职责能力，以问题为导向开展培训，引导干部运用所学理论和知识指导实践，以推动县区工作。</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举办培训班次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33次</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48次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师资培训</w:t>
            </w:r>
          </w:p>
        </w:tc>
        <w:tc>
          <w:tcPr>
            <w:tcW w:w="4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进一步深入</w:t>
            </w:r>
            <w:r>
              <w:rPr>
                <w:rFonts w:hint="eastAsia" w:ascii="仿宋" w:hAnsi="仿宋" w:eastAsia="仿宋" w:cs="仿宋"/>
                <w:i w:val="0"/>
                <w:color w:val="000000"/>
                <w:kern w:val="0"/>
                <w:sz w:val="22"/>
                <w:szCs w:val="22"/>
                <w:highlight w:val="none"/>
                <w:u w:val="none"/>
                <w:lang w:val="en-US" w:eastAsia="zh-CN" w:bidi="ar"/>
              </w:rPr>
              <w:t>学习</w:t>
            </w:r>
            <w:r>
              <w:rPr>
                <w:rFonts w:hint="default" w:ascii="仿宋" w:hAnsi="仿宋" w:eastAsia="仿宋" w:cs="仿宋"/>
                <w:i w:val="0"/>
                <w:color w:val="000000"/>
                <w:kern w:val="0"/>
                <w:sz w:val="22"/>
                <w:szCs w:val="22"/>
                <w:highlight w:val="none"/>
                <w:u w:val="none"/>
                <w:lang w:val="en-US" w:eastAsia="zh-CN" w:bidi="ar"/>
              </w:rPr>
              <w:t>贯彻习近平新时代中国特色社会主义思想和习近平总书记在中央党校建校90周年庆祝大会暨2023年春季开学典礼上的重要讲话精神、认真贯彻落实党的二十大，省委十二届三次</w:t>
            </w:r>
            <w:r>
              <w:rPr>
                <w:rFonts w:hint="eastAsia" w:ascii="仿宋" w:hAnsi="仿宋" w:eastAsia="仿宋" w:cs="仿宋"/>
                <w:i w:val="0"/>
                <w:color w:val="000000"/>
                <w:kern w:val="0"/>
                <w:sz w:val="22"/>
                <w:szCs w:val="22"/>
                <w:highlight w:val="none"/>
                <w:u w:val="none"/>
                <w:lang w:val="en-US" w:eastAsia="zh-CN" w:bidi="ar"/>
              </w:rPr>
              <w:t>、四次</w:t>
            </w:r>
            <w:r>
              <w:rPr>
                <w:rFonts w:hint="default" w:ascii="仿宋" w:hAnsi="仿宋" w:eastAsia="仿宋" w:cs="仿宋"/>
                <w:i w:val="0"/>
                <w:color w:val="000000"/>
                <w:kern w:val="0"/>
                <w:sz w:val="22"/>
                <w:szCs w:val="22"/>
                <w:highlight w:val="none"/>
                <w:u w:val="none"/>
                <w:lang w:val="en-US" w:eastAsia="zh-CN" w:bidi="ar"/>
              </w:rPr>
              <w:t>全会、市委八届六次</w:t>
            </w:r>
            <w:r>
              <w:rPr>
                <w:rFonts w:hint="eastAsia" w:ascii="仿宋" w:hAnsi="仿宋" w:eastAsia="仿宋" w:cs="仿宋"/>
                <w:i w:val="0"/>
                <w:color w:val="000000"/>
                <w:kern w:val="0"/>
                <w:sz w:val="22"/>
                <w:szCs w:val="22"/>
                <w:highlight w:val="none"/>
                <w:u w:val="none"/>
                <w:lang w:val="en-US" w:eastAsia="zh-CN" w:bidi="ar"/>
              </w:rPr>
              <w:t>、七次</w:t>
            </w:r>
            <w:r>
              <w:rPr>
                <w:rFonts w:hint="default" w:ascii="仿宋" w:hAnsi="仿宋" w:eastAsia="仿宋" w:cs="仿宋"/>
                <w:i w:val="0"/>
                <w:color w:val="000000"/>
                <w:kern w:val="0"/>
                <w:sz w:val="22"/>
                <w:szCs w:val="22"/>
                <w:highlight w:val="none"/>
                <w:u w:val="none"/>
                <w:lang w:val="en-US" w:eastAsia="zh-CN" w:bidi="ar"/>
              </w:rPr>
              <w:t>全会精神和全国全省党校（行政学院）校（院）长会议精神，深入践行市委“对标跨越、提质提速、赶超进位”工作要求，切实提高全市党校系统骨干教师和管理人员“为党育才，为党献策”的能力水平。</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培训教师</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50人</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50人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1"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4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 w:hAnsi="仿宋" w:eastAsia="仿宋" w:cs="仿宋"/>
                <w:i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开展师资培训</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1次</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1次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123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办公设备采购</w:t>
            </w:r>
          </w:p>
        </w:tc>
        <w:tc>
          <w:tcPr>
            <w:tcW w:w="420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lang w:val="en"/>
              </w:rPr>
            </w:pPr>
            <w:r>
              <w:rPr>
                <w:rFonts w:hint="default" w:ascii="仿宋" w:hAnsi="仿宋" w:eastAsia="仿宋" w:cs="仿宋"/>
                <w:i w:val="0"/>
                <w:color w:val="000000"/>
                <w:kern w:val="0"/>
                <w:sz w:val="22"/>
                <w:szCs w:val="22"/>
                <w:highlight w:val="none"/>
                <w:u w:val="none"/>
                <w:lang w:val="en-US" w:eastAsia="zh-CN" w:bidi="ar"/>
              </w:rPr>
              <w:t>为新调入人员购买一批办公设备，保证工作顺利开展，完成市委市府交办的工作任务</w:t>
            </w:r>
            <w:r>
              <w:rPr>
                <w:rFonts w:hint="default" w:ascii="仿宋" w:hAnsi="仿宋" w:eastAsia="仿宋" w:cs="仿宋"/>
                <w:i w:val="0"/>
                <w:color w:val="000000"/>
                <w:kern w:val="0"/>
                <w:sz w:val="22"/>
                <w:szCs w:val="22"/>
                <w:highlight w:val="none"/>
                <w:u w:val="none"/>
                <w:lang w:val="en"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采购笔记本电脑、碎纸机、打印机等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1批</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 xml:space="preserve">1批 </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23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兴学商务中心租赁费.</w:t>
            </w:r>
          </w:p>
        </w:tc>
        <w:tc>
          <w:tcPr>
            <w:tcW w:w="420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按照遂财〔2020〕年295号文件的要求，市兴康立中心作为兴商务中心投资建设业主，负责党校规划、建设和场地管理，财政以20年为期限分步分期提供资金补助。党校每年按照财政实际拨付款项支付场地租赁费。</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党校场地租赁</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1所</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1所</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123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校（院）汽车租赁服务</w:t>
            </w:r>
          </w:p>
        </w:tc>
        <w:tc>
          <w:tcPr>
            <w:tcW w:w="420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规范校（院）采购工作，开展车辆租赁服务政府采购，保障学校办学及日常用车，维持校（院）正常运转。</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 xml:space="preserve">保障正常运转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0.5年</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仿宋" w:hAnsi="仿宋" w:eastAsia="仿宋" w:cs="仿宋"/>
                <w:i w:val="0"/>
                <w:color w:val="000000"/>
                <w:sz w:val="22"/>
                <w:szCs w:val="22"/>
                <w:highlight w:val="none"/>
                <w:u w:val="none"/>
              </w:rPr>
            </w:pPr>
            <w:r>
              <w:rPr>
                <w:rFonts w:hint="default" w:ascii="仿宋" w:hAnsi="仿宋" w:eastAsia="仿宋" w:cs="仿宋"/>
                <w:i w:val="0"/>
                <w:color w:val="000000"/>
                <w:kern w:val="0"/>
                <w:sz w:val="22"/>
                <w:szCs w:val="22"/>
                <w:highlight w:val="none"/>
                <w:u w:val="none"/>
                <w:lang w:val="en-US" w:eastAsia="zh-CN" w:bidi="ar"/>
              </w:rPr>
              <w:t xml:space="preserve">0.25年 </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w:t>
            </w:r>
          </w:p>
        </w:tc>
      </w:tr>
    </w:tbl>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3.支出控制</w:t>
      </w:r>
    </w:p>
    <w:p>
      <w:pPr>
        <w:pStyle w:val="38"/>
        <w:keepNext w:val="0"/>
        <w:keepLines w:val="0"/>
        <w:pageBreakBefore w:val="0"/>
        <w:widowControl w:val="0"/>
        <w:kinsoku/>
        <w:wordWrap/>
        <w:overflowPunct/>
        <w:topLinePunct w:val="0"/>
        <w:autoSpaceDE/>
        <w:autoSpaceDN/>
        <w:bidi w:val="0"/>
        <w:adjustRightInd/>
        <w:snapToGrid/>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支出控制较到位。</w:t>
      </w:r>
      <w:r>
        <w:rPr>
          <w:rFonts w:hint="eastAsia" w:ascii="仿宋_GB2312" w:hAnsi="仿宋_GB2312" w:eastAsia="仿宋_GB2312" w:cs="仿宋_GB2312"/>
          <w:sz w:val="32"/>
          <w:szCs w:val="32"/>
          <w:highlight w:val="none"/>
          <w:lang w:val="zh-CN" w:eastAsia="zh-CN"/>
        </w:rPr>
        <w:t>市委党校</w:t>
      </w:r>
      <w:r>
        <w:rPr>
          <w:rFonts w:hint="eastAsia" w:ascii="仿宋_GB2312" w:hAnsi="仿宋_GB2312" w:eastAsia="仿宋_GB2312" w:cs="仿宋_GB2312"/>
          <w:sz w:val="32"/>
          <w:szCs w:val="32"/>
          <w:highlight w:val="none"/>
          <w:lang w:val="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年度印刷费电费、水费</w:t>
      </w:r>
      <w:r>
        <w:rPr>
          <w:rFonts w:hint="default" w:ascii="仿宋_GB2312" w:hAnsi="仿宋_GB2312" w:eastAsia="仿宋_GB2312" w:cs="仿宋_GB2312"/>
          <w:sz w:val="32"/>
          <w:szCs w:val="32"/>
          <w:highlight w:val="none"/>
          <w:lang w:val="en"/>
        </w:rPr>
        <w:t>、维修费、会议费、培训费</w:t>
      </w:r>
      <w:r>
        <w:rPr>
          <w:rFonts w:hint="eastAsia" w:ascii="仿宋_GB2312" w:hAnsi="仿宋_GB2312" w:eastAsia="仿宋_GB2312" w:cs="仿宋_GB2312"/>
          <w:sz w:val="32"/>
          <w:szCs w:val="32"/>
          <w:highlight w:val="none"/>
          <w:lang w:val="zh-CN"/>
        </w:rPr>
        <w:t>的实际支出均未超过年初预算，整体支出</w:t>
      </w:r>
      <w:r>
        <w:rPr>
          <w:rFonts w:hint="default" w:ascii="仿宋_GB2312" w:hAnsi="仿宋_GB2312" w:eastAsia="仿宋_GB2312" w:cs="仿宋_GB2312"/>
          <w:sz w:val="32"/>
          <w:szCs w:val="32"/>
          <w:highlight w:val="none"/>
          <w:lang w:val="en"/>
        </w:rPr>
        <w:t>也</w:t>
      </w:r>
      <w:r>
        <w:rPr>
          <w:rFonts w:hint="eastAsia" w:ascii="仿宋_GB2312" w:hAnsi="仿宋_GB2312" w:eastAsia="仿宋_GB2312" w:cs="仿宋_GB2312"/>
          <w:sz w:val="32"/>
          <w:szCs w:val="32"/>
          <w:highlight w:val="none"/>
          <w:lang w:val="zh-CN"/>
        </w:rPr>
        <w:t>未超出年初预算，无偏差。</w:t>
      </w:r>
    </w:p>
    <w:p>
      <w:pPr>
        <w:pStyle w:val="38"/>
        <w:keepNext w:val="0"/>
        <w:keepLines w:val="0"/>
        <w:pageBreakBefore w:val="0"/>
        <w:widowControl w:val="0"/>
        <w:kinsoku/>
        <w:wordWrap/>
        <w:overflowPunct/>
        <w:topLinePunct w:val="0"/>
        <w:autoSpaceDE/>
        <w:autoSpaceDN/>
        <w:bidi w:val="0"/>
        <w:adjustRightInd/>
        <w:snapToGrid/>
        <w:spacing w:line="576" w:lineRule="exact"/>
        <w:ind w:firstLine="632"/>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zh-CN"/>
        </w:rPr>
        <w:t>根据单位实际情况，对单位预算进行动态调整，严格按照预算追加流程求，</w:t>
      </w:r>
      <w:r>
        <w:rPr>
          <w:rFonts w:hint="eastAsia" w:ascii="仿宋_GB2312" w:hAnsi="仿宋_GB2312" w:eastAsia="仿宋_GB2312" w:cs="仿宋_GB2312"/>
          <w:sz w:val="32"/>
          <w:szCs w:val="32"/>
          <w:highlight w:val="none"/>
          <w:lang w:val="zh-CN" w:eastAsia="zh-CN"/>
        </w:rPr>
        <w:t>市财政</w:t>
      </w:r>
      <w:r>
        <w:rPr>
          <w:rFonts w:hint="eastAsia" w:ascii="仿宋_GB2312" w:hAnsi="仿宋_GB2312" w:eastAsia="仿宋_GB2312" w:cs="仿宋_GB2312"/>
          <w:sz w:val="32"/>
          <w:szCs w:val="32"/>
          <w:highlight w:val="none"/>
          <w:lang w:val="zh-CN"/>
        </w:rPr>
        <w:t>对预算资金及时清收</w:t>
      </w:r>
      <w:r>
        <w:rPr>
          <w:rFonts w:hint="eastAsia" w:ascii="仿宋_GB2312" w:hAnsi="仿宋_GB2312" w:eastAsia="仿宋_GB2312" w:cs="仿宋_GB2312"/>
          <w:sz w:val="32"/>
          <w:szCs w:val="32"/>
          <w:highlight w:val="none"/>
          <w:lang w:val="zh-CN" w:eastAsia="zh-CN"/>
        </w:rPr>
        <w:t>金额</w:t>
      </w:r>
      <w:r>
        <w:rPr>
          <w:rFonts w:hint="eastAsia" w:ascii="仿宋_GB2312" w:hAnsi="仿宋_GB2312" w:eastAsia="仿宋_GB2312" w:cs="仿宋_GB2312"/>
          <w:sz w:val="32"/>
          <w:szCs w:val="32"/>
          <w:highlight w:val="none"/>
          <w:lang w:val="en-US" w:eastAsia="zh-CN"/>
        </w:rPr>
        <w:t>6万元</w:t>
      </w:r>
      <w:r>
        <w:rPr>
          <w:rFonts w:hint="eastAsia" w:ascii="仿宋_GB2312" w:hAnsi="仿宋_GB2312" w:eastAsia="仿宋_GB2312" w:cs="仿宋_GB2312"/>
          <w:sz w:val="32"/>
          <w:szCs w:val="32"/>
          <w:highlight w:val="none"/>
          <w:lang w:val="zh-CN"/>
        </w:rPr>
        <w:t>，绩效运行进度较可控</w:t>
      </w:r>
      <w:bookmarkStart w:id="59" w:name="_Hlk89105629"/>
      <w:r>
        <w:rPr>
          <w:rFonts w:hint="eastAsia" w:ascii="仿宋_GB2312" w:hAnsi="仿宋_GB2312" w:eastAsia="仿宋_GB2312" w:cs="仿宋_GB2312"/>
          <w:sz w:val="32"/>
          <w:szCs w:val="32"/>
          <w:highlight w:val="none"/>
          <w:lang w:val="zh-CN"/>
        </w:rPr>
        <w:t>。</w:t>
      </w:r>
      <w:bookmarkEnd w:id="59"/>
    </w:p>
    <w:tbl>
      <w:tblPr>
        <w:tblStyle w:val="16"/>
        <w:tblW w:w="92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2"/>
        <w:gridCol w:w="1380"/>
        <w:gridCol w:w="1050"/>
        <w:gridCol w:w="1575"/>
        <w:gridCol w:w="3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年初预算数（万元）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决算数（万元）</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偏差程度</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偏差原因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办公费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23.21%</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根据实际情况调整了预算支出。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印刷费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6.92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23.57%</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根据实际情况调整了预算支出。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水费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100.00%</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2023年水电费未清算，未发生支出。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99.11%</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2023年水电费未</w:t>
            </w:r>
            <w:r>
              <w:rPr>
                <w:rFonts w:hint="eastAsia" w:ascii="宋体" w:hAnsi="宋体" w:cs="宋体"/>
                <w:i w:val="0"/>
                <w:color w:val="auto"/>
                <w:kern w:val="0"/>
                <w:sz w:val="22"/>
                <w:szCs w:val="22"/>
                <w:highlight w:val="none"/>
                <w:u w:val="none"/>
                <w:lang w:val="en-US" w:eastAsia="zh-CN" w:bidi="ar"/>
              </w:rPr>
              <w:t>清算</w:t>
            </w:r>
            <w:r>
              <w:rPr>
                <w:rFonts w:hint="eastAsia" w:ascii="宋体" w:hAnsi="宋体" w:eastAsia="宋体" w:cs="宋体"/>
                <w:i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物业管理费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28.37</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9.12%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根据实际情况调整了预算支出。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维修费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23.18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40.56%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新校区搬迁后维修费减少。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会议费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41.00%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按照实际支出。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培训费</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856.29</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按照实际办班情况支出。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953.49</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892.26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6.42%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kern w:val="0"/>
                <w:sz w:val="22"/>
                <w:szCs w:val="22"/>
                <w:highlight w:val="none"/>
                <w:u w:val="none"/>
                <w:lang w:val="en-US" w:eastAsia="zh-CN" w:bidi="ar"/>
              </w:rPr>
            </w:pPr>
          </w:p>
        </w:tc>
      </w:tr>
    </w:tbl>
    <w:p>
      <w:pPr>
        <w:pStyle w:val="38"/>
        <w:keepNext w:val="0"/>
        <w:keepLines w:val="0"/>
        <w:pageBreakBefore w:val="0"/>
        <w:widowControl w:val="0"/>
        <w:kinsoku/>
        <w:wordWrap/>
        <w:overflowPunct/>
        <w:topLinePunct w:val="0"/>
        <w:autoSpaceDE/>
        <w:autoSpaceDN/>
        <w:bidi w:val="0"/>
        <w:adjustRightInd/>
        <w:snapToGrid/>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4.及时处置。无。</w:t>
      </w:r>
    </w:p>
    <w:p>
      <w:pPr>
        <w:pStyle w:val="38"/>
        <w:keepNext w:val="0"/>
        <w:keepLines w:val="0"/>
        <w:pageBreakBefore w:val="0"/>
        <w:widowControl w:val="0"/>
        <w:kinsoku/>
        <w:wordWrap/>
        <w:overflowPunct/>
        <w:topLinePunct w:val="0"/>
        <w:autoSpaceDE/>
        <w:autoSpaceDN/>
        <w:bidi w:val="0"/>
        <w:adjustRightInd/>
        <w:snapToGrid/>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5.执行进度。通过在一体化系统中查询，我校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zh-CN"/>
        </w:rPr>
        <w:t>6、9、</w:t>
      </w:r>
      <w:r>
        <w:rPr>
          <w:rFonts w:hint="eastAsia" w:ascii="仿宋_GB2312" w:hAnsi="仿宋_GB2312" w:eastAsia="仿宋_GB2312" w:cs="仿宋_GB2312"/>
          <w:sz w:val="32"/>
          <w:szCs w:val="32"/>
          <w:highlight w:val="none"/>
          <w:lang w:val="en-US" w:eastAsia="zh-CN"/>
        </w:rPr>
        <w:t>12</w:t>
      </w:r>
      <w:r>
        <w:rPr>
          <w:rFonts w:hint="default" w:ascii="仿宋_GB2312" w:hAnsi="仿宋_GB2312" w:eastAsia="仿宋_GB2312" w:cs="仿宋_GB2312"/>
          <w:sz w:val="32"/>
          <w:szCs w:val="32"/>
          <w:highlight w:val="none"/>
          <w:lang w:val="zh-CN" w:eastAsia="zh-CN"/>
        </w:rPr>
        <w:t>月</w:t>
      </w:r>
      <w:r>
        <w:rPr>
          <w:rFonts w:hint="eastAsia" w:ascii="仿宋_GB2312" w:hAnsi="仿宋_GB2312" w:eastAsia="仿宋_GB2312" w:cs="仿宋_GB2312"/>
          <w:sz w:val="32"/>
          <w:szCs w:val="32"/>
          <w:highlight w:val="none"/>
          <w:lang w:val="zh-CN"/>
        </w:rPr>
        <w:t>序时进度分别为</w:t>
      </w:r>
      <w:r>
        <w:rPr>
          <w:rFonts w:hint="eastAsia"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val="zh-CN"/>
        </w:rPr>
        <w:t>%、99%。得分3+</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val="zh-CN"/>
        </w:rPr>
        <w:t>%/90%*4+3=</w:t>
      </w:r>
      <w:r>
        <w:rPr>
          <w:rFonts w:hint="eastAsia" w:ascii="仿宋_GB2312" w:hAnsi="仿宋_GB2312" w:eastAsia="仿宋_GB2312" w:cs="仿宋_GB2312"/>
          <w:sz w:val="32"/>
          <w:szCs w:val="32"/>
          <w:highlight w:val="none"/>
          <w:lang w:val="en-US" w:eastAsia="zh-CN"/>
        </w:rPr>
        <w:t>6.88分</w:t>
      </w:r>
      <w:r>
        <w:rPr>
          <w:rFonts w:hint="eastAsia" w:ascii="仿宋_GB2312" w:hAnsi="仿宋_GB2312" w:eastAsia="仿宋_GB2312" w:cs="仿宋_GB2312"/>
          <w:sz w:val="32"/>
          <w:szCs w:val="32"/>
          <w:highlight w:val="none"/>
          <w:lang w:val="zh-CN"/>
        </w:rPr>
        <w:t>。</w:t>
      </w:r>
    </w:p>
    <w:tbl>
      <w:tblPr>
        <w:tblStyle w:val="16"/>
        <w:tblW w:w="8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9"/>
        <w:gridCol w:w="1408"/>
        <w:gridCol w:w="1440"/>
        <w:gridCol w:w="1575"/>
        <w:gridCol w:w="2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6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时间</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1-6月</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1-9月</w:t>
            </w: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1-12月</w:t>
            </w:r>
          </w:p>
        </w:tc>
        <w:tc>
          <w:tcPr>
            <w:tcW w:w="27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6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序时进度</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82%</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99%</w:t>
            </w:r>
          </w:p>
        </w:tc>
        <w:tc>
          <w:tcPr>
            <w:tcW w:w="279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eastAsia="zh-CN"/>
              </w:rPr>
              <w:t>根据一体化系统查询进度。</w:t>
            </w:r>
          </w:p>
        </w:tc>
      </w:tr>
    </w:tbl>
    <w:p>
      <w:pPr>
        <w:pStyle w:val="38"/>
        <w:keepNext w:val="0"/>
        <w:keepLines w:val="0"/>
        <w:pageBreakBefore w:val="0"/>
        <w:widowControl w:val="0"/>
        <w:kinsoku/>
        <w:wordWrap/>
        <w:overflowPunct/>
        <w:topLinePunct w:val="0"/>
        <w:autoSpaceDE/>
        <w:autoSpaceDN/>
        <w:bidi w:val="0"/>
        <w:adjustRightInd/>
        <w:snapToGrid/>
        <w:spacing w:line="576" w:lineRule="exact"/>
        <w:ind w:firstLine="632"/>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
        </w:rPr>
        <w:t>6.</w:t>
      </w:r>
      <w:r>
        <w:rPr>
          <w:rFonts w:hint="eastAsia" w:ascii="仿宋_GB2312" w:hAnsi="仿宋_GB2312" w:eastAsia="仿宋_GB2312" w:cs="仿宋_GB2312"/>
          <w:sz w:val="32"/>
          <w:szCs w:val="32"/>
          <w:highlight w:val="none"/>
          <w:lang w:val="zh-CN"/>
        </w:rPr>
        <w:t>预算完成情况。调整后预算数</w:t>
      </w:r>
      <w:r>
        <w:rPr>
          <w:rFonts w:hint="eastAsia" w:ascii="仿宋_GB2312" w:hAnsi="仿宋_GB2312" w:eastAsia="仿宋_GB2312" w:cs="仿宋_GB2312"/>
          <w:sz w:val="32"/>
          <w:szCs w:val="32"/>
          <w:highlight w:val="none"/>
          <w:lang w:val="en-US" w:eastAsia="zh-CN"/>
        </w:rPr>
        <w:t>5292.83</w:t>
      </w:r>
      <w:r>
        <w:rPr>
          <w:rFonts w:hint="eastAsia" w:ascii="仿宋_GB2312" w:hAnsi="仿宋_GB2312" w:eastAsia="仿宋_GB2312" w:cs="仿宋_GB2312"/>
          <w:sz w:val="32"/>
          <w:szCs w:val="32"/>
          <w:highlight w:val="none"/>
          <w:lang w:val="zh-CN"/>
        </w:rPr>
        <w:t>万元，实际支出数</w:t>
      </w:r>
      <w:r>
        <w:rPr>
          <w:rFonts w:hint="eastAsia" w:ascii="仿宋_GB2312" w:hAnsi="仿宋_GB2312" w:eastAsia="仿宋_GB2312" w:cs="仿宋_GB2312"/>
          <w:sz w:val="32"/>
          <w:szCs w:val="32"/>
          <w:highlight w:val="none"/>
          <w:lang w:val="en-US" w:eastAsia="zh-CN"/>
        </w:rPr>
        <w:t>5292.83</w:t>
      </w:r>
      <w:r>
        <w:rPr>
          <w:rFonts w:hint="eastAsia" w:ascii="仿宋_GB2312" w:hAnsi="仿宋_GB2312" w:eastAsia="仿宋_GB2312" w:cs="仿宋_GB2312"/>
          <w:sz w:val="32"/>
          <w:szCs w:val="32"/>
          <w:highlight w:val="none"/>
          <w:lang w:val="zh-CN"/>
        </w:rPr>
        <w:t>万元，预算完成率</w:t>
      </w:r>
      <w:r>
        <w:rPr>
          <w:rFonts w:hint="eastAsia" w:ascii="仿宋_GB2312" w:hAnsi="仿宋_GB2312" w:eastAsia="仿宋_GB2312" w:cs="仿宋_GB2312"/>
          <w:sz w:val="32"/>
          <w:szCs w:val="32"/>
          <w:highlight w:val="none"/>
          <w:lang w:val="en-US" w:eastAsia="zh-CN"/>
        </w:rPr>
        <w:t>100%。</w:t>
      </w:r>
    </w:p>
    <w:p>
      <w:pPr>
        <w:pStyle w:val="38"/>
        <w:keepNext w:val="0"/>
        <w:keepLines w:val="0"/>
        <w:pageBreakBefore w:val="0"/>
        <w:widowControl w:val="0"/>
        <w:kinsoku/>
        <w:wordWrap/>
        <w:overflowPunct/>
        <w:topLinePunct w:val="0"/>
        <w:autoSpaceDE/>
        <w:autoSpaceDN/>
        <w:bidi w:val="0"/>
        <w:adjustRightInd/>
        <w:snapToGrid/>
        <w:spacing w:line="576" w:lineRule="exact"/>
        <w:ind w:firstLine="632"/>
        <w:textAlignment w:val="auto"/>
        <w:rPr>
          <w:rFonts w:hint="eastAsia" w:ascii="仿宋_GB2312" w:hAnsi="仿宋_GB2312" w:eastAsia="仿宋_GB2312" w:cs="仿宋_GB2312"/>
          <w:sz w:val="32"/>
          <w:szCs w:val="32"/>
          <w:highlight w:val="none"/>
          <w:lang w:val="zh-CN"/>
        </w:rPr>
      </w:pPr>
      <w:r>
        <w:rPr>
          <w:rFonts w:hint="default" w:ascii="仿宋_GB2312" w:hAnsi="仿宋_GB2312" w:eastAsia="仿宋_GB2312" w:cs="仿宋_GB2312"/>
          <w:sz w:val="32"/>
          <w:szCs w:val="32"/>
          <w:highlight w:val="none"/>
          <w:lang w:val="en"/>
        </w:rPr>
        <w:t>7.</w:t>
      </w:r>
      <w:r>
        <w:rPr>
          <w:rFonts w:hint="eastAsia" w:ascii="仿宋_GB2312" w:hAnsi="仿宋_GB2312" w:eastAsia="仿宋_GB2312" w:cs="仿宋_GB2312"/>
          <w:sz w:val="32"/>
          <w:szCs w:val="32"/>
          <w:highlight w:val="none"/>
          <w:lang w:val="zh-CN"/>
        </w:rPr>
        <w:t>资金结余率。特定目标类项目预算数</w:t>
      </w:r>
      <w:r>
        <w:rPr>
          <w:rFonts w:hint="eastAsia" w:ascii="仿宋_GB2312" w:hAnsi="仿宋_GB2312" w:eastAsia="仿宋_GB2312" w:cs="仿宋_GB2312"/>
          <w:sz w:val="32"/>
          <w:szCs w:val="32"/>
          <w:highlight w:val="none"/>
          <w:lang w:val="en-US" w:eastAsia="zh-CN"/>
        </w:rPr>
        <w:t>3493.21</w:t>
      </w:r>
      <w:r>
        <w:rPr>
          <w:rFonts w:hint="eastAsia" w:ascii="仿宋_GB2312" w:hAnsi="仿宋_GB2312" w:eastAsia="仿宋_GB2312" w:cs="仿宋_GB2312"/>
          <w:sz w:val="32"/>
          <w:szCs w:val="32"/>
          <w:highlight w:val="none"/>
          <w:lang w:val="zh-CN"/>
        </w:rPr>
        <w:t>万元,完成数</w:t>
      </w:r>
      <w:r>
        <w:rPr>
          <w:rFonts w:hint="eastAsia" w:ascii="仿宋_GB2312" w:hAnsi="仿宋_GB2312" w:eastAsia="仿宋_GB2312" w:cs="仿宋_GB2312"/>
          <w:sz w:val="32"/>
          <w:szCs w:val="32"/>
          <w:highlight w:val="none"/>
          <w:lang w:val="en-US" w:eastAsia="zh-CN"/>
        </w:rPr>
        <w:t>3423.</w:t>
      </w:r>
      <w:r>
        <w:rPr>
          <w:rFonts w:hint="default" w:ascii="仿宋_GB2312" w:hAnsi="仿宋_GB2312" w:eastAsia="仿宋_GB2312" w:cs="仿宋_GB2312"/>
          <w:sz w:val="32"/>
          <w:szCs w:val="32"/>
          <w:highlight w:val="none"/>
          <w:lang w:val="en" w:eastAsia="zh-CN"/>
        </w:rPr>
        <w:t>12</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zh-CN"/>
        </w:rPr>
        <w:t>，完成率</w:t>
      </w:r>
      <w:r>
        <w:rPr>
          <w:rFonts w:hint="eastAsia" w:ascii="仿宋_GB2312" w:hAnsi="仿宋_GB2312" w:eastAsia="仿宋_GB2312" w:cs="仿宋_GB2312"/>
          <w:sz w:val="32"/>
          <w:szCs w:val="32"/>
          <w:highlight w:val="none"/>
          <w:lang w:val="en-US" w:eastAsia="zh-CN"/>
        </w:rPr>
        <w:t>98</w:t>
      </w:r>
      <w:r>
        <w:rPr>
          <w:rFonts w:hint="eastAsia" w:ascii="仿宋_GB2312" w:hAnsi="仿宋_GB2312" w:eastAsia="仿宋_GB2312" w:cs="仿宋_GB2312"/>
          <w:sz w:val="32"/>
          <w:szCs w:val="32"/>
          <w:highlight w:val="none"/>
          <w:lang w:val="zh-CN"/>
        </w:rPr>
        <w:t>%。纳入目标绩效管理的项目8个，有</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zh-CN"/>
        </w:rPr>
        <w:t>个项目资金结余率小于0.1（</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zh-CN"/>
        </w:rPr>
        <w:t>），因此得分6/8*10</w:t>
      </w:r>
      <w:r>
        <w:rPr>
          <w:rFonts w:hint="eastAsia" w:ascii="仿宋_GB2312" w:hAnsi="仿宋_GB2312" w:eastAsia="仿宋_GB2312" w:cs="仿宋_GB2312"/>
          <w:sz w:val="32"/>
          <w:szCs w:val="32"/>
          <w:highlight w:val="none"/>
          <w:lang w:val="en-US" w:eastAsia="zh-CN"/>
        </w:rPr>
        <w:t>=7.5分</w:t>
      </w:r>
      <w:r>
        <w:rPr>
          <w:rFonts w:hint="eastAsia" w:ascii="仿宋_GB2312" w:hAnsi="仿宋_GB2312" w:eastAsia="仿宋_GB2312" w:cs="仿宋_GB2312"/>
          <w:sz w:val="32"/>
          <w:szCs w:val="32"/>
          <w:highlight w:val="none"/>
          <w:lang w:val="zh-CN"/>
        </w:rPr>
        <w:t>。</w:t>
      </w:r>
    </w:p>
    <w:tbl>
      <w:tblPr>
        <w:tblStyle w:val="16"/>
        <w:tblW w:w="9286" w:type="dxa"/>
        <w:tblInd w:w="0" w:type="dxa"/>
        <w:tblLayout w:type="fixed"/>
        <w:tblCellMar>
          <w:top w:w="0" w:type="dxa"/>
          <w:left w:w="108" w:type="dxa"/>
          <w:bottom w:w="0" w:type="dxa"/>
          <w:right w:w="108" w:type="dxa"/>
        </w:tblCellMar>
      </w:tblPr>
      <w:tblGrid>
        <w:gridCol w:w="2231"/>
        <w:gridCol w:w="1215"/>
        <w:gridCol w:w="1140"/>
        <w:gridCol w:w="1260"/>
        <w:gridCol w:w="1305"/>
        <w:gridCol w:w="2135"/>
      </w:tblGrid>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部门预算项目</w:t>
            </w:r>
          </w:p>
        </w:tc>
        <w:tc>
          <w:tcPr>
            <w:tcW w:w="121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预算金额（万元）</w:t>
            </w:r>
          </w:p>
        </w:tc>
        <w:tc>
          <w:tcPr>
            <w:tcW w:w="1140"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预算执行</w:t>
            </w:r>
            <w:r>
              <w:rPr>
                <w:rFonts w:hint="eastAsia" w:ascii="宋体" w:hAnsi="宋体" w:eastAsia="宋体" w:cs="宋体"/>
                <w:i w:val="0"/>
                <w:color w:val="000000"/>
                <w:kern w:val="0"/>
                <w:sz w:val="22"/>
                <w:szCs w:val="22"/>
                <w:highlight w:val="none"/>
                <w:u w:val="none"/>
                <w:lang w:val="en-US" w:eastAsia="zh-CN" w:bidi="ar"/>
              </w:rPr>
              <w:t>（万元）</w:t>
            </w:r>
          </w:p>
        </w:tc>
        <w:tc>
          <w:tcPr>
            <w:tcW w:w="126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预算完成率</w:t>
            </w:r>
          </w:p>
        </w:tc>
        <w:tc>
          <w:tcPr>
            <w:tcW w:w="130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资金结余率</w:t>
            </w:r>
          </w:p>
        </w:tc>
        <w:tc>
          <w:tcPr>
            <w:tcW w:w="21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是否小于0.1（10%）</w:t>
            </w:r>
          </w:p>
        </w:tc>
      </w:tr>
      <w:tr>
        <w:tblPrEx>
          <w:tblCellMar>
            <w:top w:w="0" w:type="dxa"/>
            <w:left w:w="108" w:type="dxa"/>
            <w:bottom w:w="0" w:type="dxa"/>
            <w:right w:w="108" w:type="dxa"/>
          </w:tblCellMar>
        </w:tblPrEx>
        <w:trPr>
          <w:trHeight w:val="280" w:hRule="atLeast"/>
        </w:trPr>
        <w:tc>
          <w:tcPr>
            <w:tcW w:w="2231" w:type="dxa"/>
            <w:tcBorders>
              <w:top w:val="nil"/>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专项科研经费补助</w:t>
            </w:r>
          </w:p>
        </w:tc>
        <w:tc>
          <w:tcPr>
            <w:tcW w:w="1215" w:type="dxa"/>
            <w:tcBorders>
              <w:top w:val="nil"/>
              <w:left w:val="nil"/>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10.9</w:t>
            </w:r>
          </w:p>
        </w:tc>
        <w:tc>
          <w:tcPr>
            <w:tcW w:w="1140" w:type="dxa"/>
            <w:tcBorders>
              <w:top w:val="nil"/>
              <w:left w:val="nil"/>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10.81</w:t>
            </w:r>
          </w:p>
        </w:tc>
        <w:tc>
          <w:tcPr>
            <w:tcW w:w="1260" w:type="dxa"/>
            <w:tcBorders>
              <w:top w:val="nil"/>
              <w:left w:val="nil"/>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99.17%</w:t>
            </w:r>
          </w:p>
        </w:tc>
        <w:tc>
          <w:tcPr>
            <w:tcW w:w="130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0.08</w:t>
            </w:r>
          </w:p>
        </w:tc>
        <w:tc>
          <w:tcPr>
            <w:tcW w:w="213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val="en-US" w:eastAsia="zh-CN"/>
              </w:rPr>
              <w:t>关心下一代项目</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.00</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.00</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100%</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0</w:t>
            </w:r>
          </w:p>
        </w:tc>
        <w:tc>
          <w:tcPr>
            <w:tcW w:w="21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兴学商务中心租赁费</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3065</w:t>
            </w:r>
            <w:r>
              <w:rPr>
                <w:rFonts w:hint="eastAsia" w:ascii="宋体" w:hAnsi="宋体" w:cs="宋体"/>
                <w:color w:val="auto"/>
                <w:kern w:val="0"/>
                <w:sz w:val="21"/>
                <w:szCs w:val="21"/>
                <w:highlight w:val="none"/>
                <w:lang w:val="en-US" w:eastAsia="zh-CN"/>
              </w:rPr>
              <w:t>.00</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3065</w:t>
            </w:r>
            <w:r>
              <w:rPr>
                <w:rFonts w:hint="eastAsia" w:ascii="宋体" w:hAnsi="宋体" w:cs="宋体"/>
                <w:color w:val="auto"/>
                <w:kern w:val="0"/>
                <w:sz w:val="21"/>
                <w:szCs w:val="21"/>
                <w:highlight w:val="none"/>
                <w:lang w:val="en-US" w:eastAsia="zh-CN"/>
              </w:rPr>
              <w:t>.00</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100%</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0</w:t>
            </w:r>
          </w:p>
        </w:tc>
        <w:tc>
          <w:tcPr>
            <w:tcW w:w="21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师资培训</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11.3</w:t>
            </w:r>
            <w:r>
              <w:rPr>
                <w:rFonts w:hint="eastAsia" w:ascii="宋体" w:hAnsi="宋体" w:cs="宋体"/>
                <w:color w:val="auto"/>
                <w:kern w:val="0"/>
                <w:sz w:val="21"/>
                <w:szCs w:val="21"/>
                <w:highlight w:val="none"/>
                <w:lang w:val="en-US" w:eastAsia="zh-CN"/>
              </w:rPr>
              <w:t>0</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11.3</w:t>
            </w:r>
            <w:r>
              <w:rPr>
                <w:rFonts w:hint="eastAsia" w:ascii="宋体" w:hAnsi="宋体" w:cs="宋体"/>
                <w:color w:val="auto"/>
                <w:kern w:val="0"/>
                <w:sz w:val="21"/>
                <w:szCs w:val="21"/>
                <w:highlight w:val="none"/>
                <w:lang w:val="en-US" w:eastAsia="zh-CN"/>
              </w:rPr>
              <w:t>0</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100%</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0</w:t>
            </w:r>
          </w:p>
        </w:tc>
        <w:tc>
          <w:tcPr>
            <w:tcW w:w="21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办公设备购置</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8.61</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8.44</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98%</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0.019</w:t>
            </w:r>
          </w:p>
        </w:tc>
        <w:tc>
          <w:tcPr>
            <w:tcW w:w="21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是</w:t>
            </w:r>
          </w:p>
        </w:tc>
      </w:tr>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电信网络服务</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14.4</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14.4</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21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是</w:t>
            </w:r>
          </w:p>
        </w:tc>
      </w:tr>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县区统筹办班培训费</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350</w:t>
            </w:r>
            <w:r>
              <w:rPr>
                <w:rFonts w:hint="eastAsia" w:ascii="宋体" w:hAnsi="宋体" w:cs="宋体"/>
                <w:color w:val="auto"/>
                <w:kern w:val="0"/>
                <w:sz w:val="21"/>
                <w:szCs w:val="21"/>
                <w:highlight w:val="none"/>
                <w:lang w:val="en-US" w:eastAsia="zh-CN"/>
              </w:rPr>
              <w:t>.00</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297.02</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84.86%</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0.15</w:t>
            </w:r>
          </w:p>
        </w:tc>
        <w:tc>
          <w:tcPr>
            <w:tcW w:w="21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否</w:t>
            </w:r>
          </w:p>
        </w:tc>
      </w:tr>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校（院）汽车租赁服务</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r>
              <w:rPr>
                <w:rFonts w:hint="eastAsia" w:ascii="宋体" w:hAnsi="宋体" w:cs="宋体"/>
                <w:color w:val="auto"/>
                <w:kern w:val="0"/>
                <w:sz w:val="21"/>
                <w:szCs w:val="21"/>
                <w:highlight w:val="none"/>
                <w:lang w:val="en-US" w:eastAsia="zh-CN"/>
              </w:rPr>
              <w:t>.00</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US" w:eastAsia="zh-CN"/>
              </w:rPr>
              <w:t>13.</w:t>
            </w:r>
            <w:r>
              <w:rPr>
                <w:rFonts w:hint="default" w:ascii="宋体" w:hAnsi="宋体" w:cs="宋体"/>
                <w:color w:val="auto"/>
                <w:kern w:val="0"/>
                <w:sz w:val="21"/>
                <w:szCs w:val="21"/>
                <w:highlight w:val="none"/>
                <w:lang w:val="en" w:eastAsia="zh-CN"/>
              </w:rPr>
              <w:t>15</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43.83%</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0.56</w:t>
            </w:r>
          </w:p>
        </w:tc>
        <w:tc>
          <w:tcPr>
            <w:tcW w:w="21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否</w:t>
            </w:r>
          </w:p>
        </w:tc>
      </w:tr>
      <w:tr>
        <w:tblPrEx>
          <w:tblCellMar>
            <w:top w:w="0" w:type="dxa"/>
            <w:left w:w="108" w:type="dxa"/>
            <w:bottom w:w="0" w:type="dxa"/>
            <w:right w:w="108" w:type="dxa"/>
          </w:tblCellMar>
        </w:tblPrEx>
        <w:trPr>
          <w:trHeight w:val="28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合计</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3493.21</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default"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US" w:eastAsia="zh-CN"/>
              </w:rPr>
              <w:t>3423.</w:t>
            </w:r>
            <w:r>
              <w:rPr>
                <w:rFonts w:hint="default" w:ascii="宋体" w:hAnsi="宋体" w:cs="宋体"/>
                <w:color w:val="auto"/>
                <w:kern w:val="0"/>
                <w:sz w:val="21"/>
                <w:szCs w:val="21"/>
                <w:highlight w:val="none"/>
                <w:lang w:val="en" w:eastAsia="zh-CN"/>
              </w:rPr>
              <w:t>12</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firstLine="206" w:firstLineChars="10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98%</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0.02</w:t>
            </w:r>
          </w:p>
        </w:tc>
        <w:tc>
          <w:tcPr>
            <w:tcW w:w="21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1"/>
                <w:szCs w:val="21"/>
                <w:highlight w:val="none"/>
                <w:lang w:eastAsia="zh-CN"/>
              </w:rPr>
            </w:pPr>
          </w:p>
        </w:tc>
      </w:tr>
    </w:tbl>
    <w:p>
      <w:pPr>
        <w:pStyle w:val="38"/>
        <w:keepNext w:val="0"/>
        <w:keepLines w:val="0"/>
        <w:pageBreakBefore w:val="0"/>
        <w:kinsoku/>
        <w:wordWrap/>
        <w:overflowPunct/>
        <w:topLinePunct w:val="0"/>
        <w:autoSpaceDE/>
        <w:autoSpaceDN/>
        <w:bidi w:val="0"/>
        <w:spacing w:line="576" w:lineRule="exact"/>
        <w:ind w:left="0" w:leftChars="0" w:firstLine="632"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8.违规记录。无。</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方正楷体_GBK" w:hAnsi="方正楷体_GBK" w:eastAsia="方正楷体_GBK" w:cs="方正楷体_GBK"/>
          <w:sz w:val="32"/>
          <w:szCs w:val="32"/>
          <w:highlight w:val="none"/>
          <w:lang w:val="zh-CN"/>
        </w:rPr>
      </w:pPr>
      <w:r>
        <w:rPr>
          <w:rFonts w:hint="eastAsia" w:ascii="方正楷体_GBK" w:hAnsi="方正楷体_GBK" w:eastAsia="方正楷体_GBK" w:cs="方正楷体_GBK"/>
          <w:sz w:val="32"/>
          <w:szCs w:val="32"/>
          <w:highlight w:val="none"/>
          <w:lang w:val="zh-CN"/>
        </w:rPr>
        <w:t>（二）结果应用情况。</w:t>
      </w:r>
    </w:p>
    <w:p>
      <w:pPr>
        <w:pStyle w:val="38"/>
        <w:keepNext w:val="0"/>
        <w:keepLines w:val="0"/>
        <w:pageBreakBefore w:val="0"/>
        <w:kinsoku/>
        <w:wordWrap/>
        <w:overflowPunct/>
        <w:topLinePunct w:val="0"/>
        <w:autoSpaceDE/>
        <w:autoSpaceDN/>
        <w:bidi w:val="0"/>
        <w:spacing w:line="576" w:lineRule="exact"/>
        <w:ind w:firstLine="632"/>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rPr>
        <w:t>1.内部应用。根据绩效自评结果，完善下一年度预算，</w:t>
      </w:r>
      <w:r>
        <w:rPr>
          <w:rFonts w:hint="eastAsia" w:ascii="仿宋_GB2312" w:hAnsi="仿宋_GB2312" w:eastAsia="仿宋_GB2312" w:cs="仿宋_GB2312"/>
          <w:sz w:val="32"/>
          <w:szCs w:val="32"/>
          <w:highlight w:val="none"/>
          <w:lang w:val="en-US" w:eastAsia="zh-CN"/>
        </w:rPr>
        <w:t>2024年在项目编制以及商品服务支出编制上更加精准，在绩效指标的设置上也更加科学合理。</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rPr>
        <w:t>2.自评公开。</w:t>
      </w:r>
      <w:r>
        <w:rPr>
          <w:rFonts w:hint="eastAsia" w:ascii="仿宋_GB2312" w:hAnsi="仿宋_GB2312" w:eastAsia="仿宋_GB2312" w:cs="仿宋_GB2312"/>
          <w:sz w:val="32"/>
          <w:szCs w:val="32"/>
          <w:highlight w:val="none"/>
        </w:rPr>
        <w:t>信息公开及时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我单位严格按照要求在市财政部门批复二十日后，根据市财政要求按时在</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信息公开网</w:t>
      </w:r>
      <w:r>
        <w:rPr>
          <w:rFonts w:hint="eastAsia" w:ascii="仿宋_GB2312" w:hAnsi="仿宋_GB2312" w:eastAsia="仿宋_GB2312" w:cs="仿宋_GB2312"/>
          <w:sz w:val="32"/>
          <w:szCs w:val="32"/>
          <w:highlight w:val="none"/>
          <w:lang w:eastAsia="zh-CN"/>
        </w:rPr>
        <w:t>以及本单位官网</w:t>
      </w:r>
      <w:r>
        <w:rPr>
          <w:rFonts w:hint="eastAsia" w:ascii="仿宋_GB2312" w:hAnsi="仿宋_GB2312" w:eastAsia="仿宋_GB2312" w:cs="仿宋_GB2312"/>
          <w:sz w:val="32"/>
          <w:szCs w:val="32"/>
          <w:highlight w:val="none"/>
        </w:rPr>
        <w:t>公示本绩效目标情况。同时部门整体支出绩效自评报告及其他按要求应公开的绩效信息均已信息公开。</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3.问题整改。无。</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4.应用反馈。无。</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四、评价结论及建议</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方正楷体_GBK" w:hAnsi="方正楷体_GBK" w:eastAsia="方正楷体_GBK" w:cs="方正楷体_GBK"/>
          <w:sz w:val="32"/>
          <w:szCs w:val="32"/>
          <w:highlight w:val="none"/>
          <w:lang w:val="zh-CN"/>
        </w:rPr>
      </w:pPr>
      <w:r>
        <w:rPr>
          <w:rFonts w:hint="eastAsia" w:ascii="方正楷体_GBK" w:hAnsi="方正楷体_GBK" w:eastAsia="方正楷体_GBK" w:cs="方正楷体_GBK"/>
          <w:sz w:val="32"/>
          <w:szCs w:val="32"/>
          <w:highlight w:val="none"/>
          <w:lang w:val="zh-CN"/>
        </w:rPr>
        <w:t>（一）评价结论</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结合我校实际情况，填写《202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年市级部门整体支出绩效评价指标表》，根据《202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年市级部门整体支出绩效评价指标体系》评分，综合得分</w:t>
      </w:r>
      <w:r>
        <w:rPr>
          <w:rFonts w:hint="eastAsia" w:ascii="仿宋_GB2312" w:hAnsi="仿宋_GB2312" w:eastAsia="仿宋_GB2312" w:cs="仿宋_GB2312"/>
          <w:sz w:val="32"/>
          <w:szCs w:val="32"/>
          <w:highlight w:val="none"/>
          <w:lang w:val="en-US" w:eastAsia="zh-CN"/>
        </w:rPr>
        <w:t>81.88</w:t>
      </w:r>
      <w:r>
        <w:rPr>
          <w:rFonts w:hint="eastAsia" w:ascii="仿宋_GB2312" w:hAnsi="仿宋_GB2312" w:eastAsia="仿宋_GB2312" w:cs="仿宋_GB2312"/>
          <w:sz w:val="32"/>
          <w:szCs w:val="32"/>
          <w:highlight w:val="none"/>
          <w:lang w:val="zh-CN"/>
        </w:rPr>
        <w:t>分（总分</w:t>
      </w:r>
      <w:r>
        <w:rPr>
          <w:rFonts w:hint="eastAsia" w:ascii="仿宋_GB2312" w:hAnsi="仿宋_GB2312" w:eastAsia="仿宋_GB2312" w:cs="仿宋_GB2312"/>
          <w:sz w:val="32"/>
          <w:szCs w:val="32"/>
          <w:highlight w:val="none"/>
          <w:lang w:val="en-US" w:eastAsia="zh-CN"/>
        </w:rPr>
        <w:t>90分</w:t>
      </w:r>
      <w:r>
        <w:rPr>
          <w:rFonts w:hint="eastAsia" w:ascii="仿宋_GB2312" w:hAnsi="仿宋_GB2312" w:eastAsia="仿宋_GB2312" w:cs="仿宋_GB2312"/>
          <w:sz w:val="32"/>
          <w:szCs w:val="32"/>
          <w:highlight w:val="none"/>
          <w:lang w:val="zh-CN"/>
        </w:rPr>
        <w:t>），最主要扣分原因：一是存在两个预算项目资金结余率大</w:t>
      </w:r>
      <w:r>
        <w:rPr>
          <w:rFonts w:hint="eastAsia" w:ascii="仿宋_GB2312" w:hAnsi="仿宋_GB2312" w:eastAsia="仿宋_GB2312" w:cs="仿宋_GB2312"/>
          <w:sz w:val="32"/>
          <w:szCs w:val="32"/>
          <w:highlight w:val="none"/>
          <w:lang w:val="en-US" w:eastAsia="zh-CN"/>
        </w:rPr>
        <w:t>（汽车租赁服务项目为我校第一次编制，由于前期工作开展进度较慢，招标结果比预期晚，导致预算执行进度低）；二是预算资金序时进度低，1-9月序时进度为20%（</w:t>
      </w:r>
      <w:r>
        <w:rPr>
          <w:rFonts w:hint="eastAsia" w:ascii="仿宋_GB2312" w:hAnsi="仿宋_GB2312" w:eastAsia="仿宋_GB2312" w:cs="仿宋_GB2312"/>
          <w:color w:val="auto"/>
          <w:sz w:val="32"/>
          <w:szCs w:val="32"/>
          <w:highlight w:val="none"/>
          <w:lang w:val="en-US" w:eastAsia="zh-CN"/>
        </w:rPr>
        <w:t>市兴学商务中心租赁项目3065万元，按照合同应年底支付）</w:t>
      </w:r>
      <w:r>
        <w:rPr>
          <w:rFonts w:hint="eastAsia" w:ascii="仿宋_GB2312" w:hAnsi="仿宋_GB2312" w:eastAsia="仿宋_GB2312" w:cs="仿宋_GB2312"/>
          <w:color w:val="auto"/>
          <w:sz w:val="32"/>
          <w:szCs w:val="32"/>
          <w:highlight w:val="none"/>
          <w:lang w:val="zh-CN"/>
        </w:rPr>
        <w:t>。</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方正楷体_GBK" w:hAnsi="方正楷体_GBK" w:eastAsia="方正楷体_GBK" w:cs="方正楷体_GBK"/>
          <w:sz w:val="32"/>
          <w:szCs w:val="32"/>
          <w:highlight w:val="none"/>
          <w:lang w:val="zh-CN" w:eastAsia="zh-CN"/>
        </w:rPr>
      </w:pPr>
      <w:r>
        <w:rPr>
          <w:rFonts w:hint="eastAsia" w:ascii="方正楷体_GBK" w:hAnsi="方正楷体_GBK" w:eastAsia="方正楷体_GBK" w:cs="方正楷体_GBK"/>
          <w:sz w:val="32"/>
          <w:szCs w:val="32"/>
          <w:highlight w:val="none"/>
          <w:lang w:val="zh-CN" w:eastAsia="zh-CN"/>
        </w:rPr>
        <w:t>（二）存在问题</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一是商品服务支出</w:t>
      </w:r>
      <w:r>
        <w:rPr>
          <w:rFonts w:hint="eastAsia" w:ascii="仿宋_GB2312" w:hAnsi="仿宋_GB2312" w:eastAsia="仿宋_GB2312" w:cs="仿宋_GB2312"/>
          <w:sz w:val="32"/>
          <w:szCs w:val="32"/>
          <w:highlight w:val="none"/>
          <w:lang w:val="en-US" w:eastAsia="zh-CN"/>
        </w:rPr>
        <w:t>预算不够精准，经测算</w:t>
      </w:r>
      <w:r>
        <w:rPr>
          <w:rFonts w:hint="eastAsia" w:ascii="仿宋_GB2312" w:hAnsi="仿宋_GB2312" w:eastAsia="仿宋_GB2312" w:cs="仿宋_GB2312"/>
          <w:sz w:val="32"/>
          <w:szCs w:val="32"/>
          <w:highlight w:val="none"/>
          <w:lang w:val="zh-CN" w:eastAsia="zh-CN"/>
        </w:rPr>
        <w:t>办公费、印刷费、水费、电费、物业管理费、维修（护）费、培训费、会议费经过计算均有偏离度；二是项目资金预算执行进度</w:t>
      </w:r>
      <w:r>
        <w:rPr>
          <w:rFonts w:hint="default" w:ascii="仿宋_GB2312" w:hAnsi="仿宋_GB2312" w:eastAsia="仿宋_GB2312" w:cs="仿宋_GB2312"/>
          <w:sz w:val="32"/>
          <w:szCs w:val="32"/>
          <w:highlight w:val="none"/>
          <w:lang w:eastAsia="zh-CN"/>
        </w:rPr>
        <w:t>不够均衡</w:t>
      </w:r>
      <w:r>
        <w:rPr>
          <w:rFonts w:hint="eastAsia" w:ascii="仿宋_GB2312" w:hAnsi="仿宋_GB2312" w:eastAsia="仿宋_GB2312" w:cs="仿宋_GB2312"/>
          <w:sz w:val="32"/>
          <w:szCs w:val="32"/>
          <w:highlight w:val="none"/>
          <w:lang w:val="zh-CN" w:eastAsia="zh-CN"/>
        </w:rPr>
        <w:t>，</w:t>
      </w:r>
      <w:r>
        <w:rPr>
          <w:rFonts w:hint="default" w:ascii="仿宋_GB2312" w:hAnsi="仿宋_GB2312" w:eastAsia="仿宋_GB2312" w:cs="仿宋_GB2312"/>
          <w:sz w:val="32"/>
          <w:szCs w:val="32"/>
          <w:highlight w:val="none"/>
          <w:lang w:eastAsia="zh-CN"/>
        </w:rPr>
        <w:t>原因在</w:t>
      </w:r>
      <w:r>
        <w:rPr>
          <w:rFonts w:hint="eastAsia" w:ascii="仿宋_GB2312" w:hAnsi="仿宋_GB2312" w:eastAsia="仿宋_GB2312" w:cs="仿宋_GB2312"/>
          <w:sz w:val="32"/>
          <w:szCs w:val="32"/>
          <w:highlight w:val="none"/>
          <w:lang w:val="zh-CN" w:eastAsia="zh-CN"/>
        </w:rPr>
        <w:t>于我校</w:t>
      </w:r>
      <w:r>
        <w:rPr>
          <w:rFonts w:hint="default" w:ascii="仿宋_GB2312" w:hAnsi="仿宋_GB2312" w:eastAsia="仿宋_GB2312" w:cs="仿宋_GB2312"/>
          <w:sz w:val="32"/>
          <w:szCs w:val="32"/>
          <w:highlight w:val="none"/>
          <w:lang w:eastAsia="zh-CN"/>
        </w:rPr>
        <w:t>项目多属于社科研究项目，其预算执行，受研究进度制约，不能完全按一般项目进度实施，大多按年安排，因而，项目</w:t>
      </w:r>
      <w:r>
        <w:rPr>
          <w:rFonts w:hint="eastAsia" w:ascii="仿宋_GB2312" w:hAnsi="仿宋_GB2312" w:eastAsia="仿宋_GB2312" w:cs="仿宋_GB2312"/>
          <w:sz w:val="32"/>
          <w:szCs w:val="32"/>
          <w:highlight w:val="none"/>
          <w:lang w:val="zh-CN" w:eastAsia="zh-CN"/>
        </w:rPr>
        <w:t>资金一般于年底</w:t>
      </w:r>
      <w:r>
        <w:rPr>
          <w:rFonts w:hint="default" w:ascii="仿宋_GB2312" w:hAnsi="仿宋_GB2312" w:eastAsia="仿宋_GB2312" w:cs="仿宋_GB2312"/>
          <w:sz w:val="32"/>
          <w:szCs w:val="32"/>
          <w:highlight w:val="none"/>
          <w:lang w:eastAsia="zh-CN"/>
        </w:rPr>
        <w:t>项目完成验收后，</w:t>
      </w:r>
      <w:r>
        <w:rPr>
          <w:rFonts w:hint="eastAsia" w:ascii="仿宋_GB2312" w:hAnsi="仿宋_GB2312" w:eastAsia="仿宋_GB2312" w:cs="仿宋_GB2312"/>
          <w:sz w:val="32"/>
          <w:szCs w:val="32"/>
          <w:highlight w:val="none"/>
          <w:lang w:val="zh-CN" w:eastAsia="zh-CN"/>
        </w:rPr>
        <w:t>支付</w:t>
      </w:r>
      <w:r>
        <w:rPr>
          <w:rFonts w:hint="default" w:ascii="仿宋_GB2312" w:hAnsi="仿宋_GB2312" w:eastAsia="仿宋_GB2312" w:cs="仿宋_GB2312"/>
          <w:sz w:val="32"/>
          <w:szCs w:val="32"/>
          <w:highlight w:val="none"/>
          <w:lang w:eastAsia="zh-CN"/>
        </w:rPr>
        <w:t>结算</w:t>
      </w:r>
      <w:r>
        <w:rPr>
          <w:rFonts w:hint="eastAsia" w:ascii="仿宋_GB2312" w:hAnsi="仿宋_GB2312" w:eastAsia="仿宋_GB2312" w:cs="仿宋_GB2312"/>
          <w:sz w:val="32"/>
          <w:szCs w:val="32"/>
          <w:highlight w:val="none"/>
          <w:lang w:val="zh-CN" w:eastAsia="zh-CN"/>
        </w:rPr>
        <w:t>，</w:t>
      </w:r>
      <w:r>
        <w:rPr>
          <w:rFonts w:hint="default" w:ascii="仿宋_GB2312" w:hAnsi="仿宋_GB2312" w:eastAsia="仿宋_GB2312" w:cs="仿宋_GB2312"/>
          <w:sz w:val="32"/>
          <w:szCs w:val="32"/>
          <w:highlight w:val="none"/>
          <w:lang w:eastAsia="zh-CN"/>
        </w:rPr>
        <w:t>年中结算执行存在难度，</w:t>
      </w:r>
      <w:r>
        <w:rPr>
          <w:rFonts w:hint="eastAsia" w:ascii="仿宋_GB2312" w:hAnsi="仿宋_GB2312" w:eastAsia="仿宋_GB2312" w:cs="仿宋_GB2312"/>
          <w:sz w:val="32"/>
          <w:szCs w:val="32"/>
          <w:highlight w:val="none"/>
          <w:lang w:val="zh-CN" w:eastAsia="zh-CN"/>
        </w:rPr>
        <w:t>无法</w:t>
      </w:r>
      <w:r>
        <w:rPr>
          <w:rFonts w:hint="default" w:ascii="仿宋_GB2312" w:hAnsi="仿宋_GB2312" w:eastAsia="仿宋_GB2312" w:cs="仿宋_GB2312"/>
          <w:sz w:val="32"/>
          <w:szCs w:val="32"/>
          <w:highlight w:val="none"/>
          <w:lang w:eastAsia="zh-CN"/>
        </w:rPr>
        <w:t>按</w:t>
      </w:r>
      <w:r>
        <w:rPr>
          <w:rFonts w:hint="eastAsia" w:ascii="仿宋_GB2312" w:hAnsi="仿宋_GB2312" w:eastAsia="仿宋_GB2312" w:cs="仿宋_GB2312"/>
          <w:sz w:val="32"/>
          <w:szCs w:val="32"/>
          <w:highlight w:val="none"/>
          <w:lang w:val="en-US" w:eastAsia="zh-CN"/>
        </w:rPr>
        <w:t>6、9月</w:t>
      </w:r>
      <w:r>
        <w:rPr>
          <w:rFonts w:hint="default" w:ascii="仿宋_GB2312" w:hAnsi="仿宋_GB2312" w:eastAsia="仿宋_GB2312" w:cs="仿宋_GB2312"/>
          <w:sz w:val="32"/>
          <w:szCs w:val="32"/>
          <w:highlight w:val="none"/>
          <w:lang w:eastAsia="zh-CN"/>
        </w:rPr>
        <w:t>时间节点安排执行</w:t>
      </w:r>
      <w:r>
        <w:rPr>
          <w:rFonts w:hint="eastAsia" w:ascii="仿宋_GB2312" w:hAnsi="仿宋_GB2312" w:eastAsia="仿宋_GB2312" w:cs="仿宋_GB2312"/>
          <w:sz w:val="32"/>
          <w:szCs w:val="32"/>
          <w:highlight w:val="none"/>
          <w:lang w:val="en-US" w:eastAsia="zh-CN"/>
        </w:rPr>
        <w:t>进度</w:t>
      </w:r>
      <w:r>
        <w:rPr>
          <w:rFonts w:hint="eastAsia" w:ascii="仿宋_GB2312" w:hAnsi="仿宋_GB2312" w:eastAsia="仿宋_GB2312" w:cs="仿宋_GB2312"/>
          <w:sz w:val="32"/>
          <w:szCs w:val="32"/>
          <w:highlight w:val="none"/>
          <w:lang w:val="zh-CN" w:eastAsia="zh-CN"/>
        </w:rPr>
        <w:t>。</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方正楷体_GBK" w:hAnsi="方正楷体_GBK" w:eastAsia="方正楷体_GBK" w:cs="方正楷体_GBK"/>
          <w:sz w:val="32"/>
          <w:szCs w:val="32"/>
          <w:highlight w:val="none"/>
          <w:lang w:val="zh-CN" w:eastAsia="zh-CN"/>
        </w:rPr>
      </w:pPr>
      <w:r>
        <w:rPr>
          <w:rFonts w:hint="eastAsia" w:ascii="方正楷体_GBK" w:hAnsi="方正楷体_GBK" w:eastAsia="方正楷体_GBK" w:cs="方正楷体_GBK"/>
          <w:sz w:val="32"/>
          <w:szCs w:val="32"/>
          <w:highlight w:val="none"/>
          <w:lang w:val="zh-CN" w:eastAsia="zh-CN"/>
        </w:rPr>
        <w:t>（三）改进建议</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eastAsia="zh-CN"/>
        </w:rPr>
        <w:t>.建议针对不同</w:t>
      </w:r>
      <w:r>
        <w:rPr>
          <w:rFonts w:hint="eastAsia" w:ascii="仿宋_GB2312" w:hAnsi="仿宋_GB2312" w:eastAsia="仿宋_GB2312" w:cs="仿宋_GB2312"/>
          <w:sz w:val="32"/>
          <w:szCs w:val="32"/>
          <w:highlight w:val="none"/>
          <w:lang w:val="en-US" w:eastAsia="zh-CN"/>
        </w:rPr>
        <w:t>项目资金的特殊性，类似我校“兴学商务中心租赁”项目</w:t>
      </w:r>
      <w:r>
        <w:rPr>
          <w:rFonts w:hint="default" w:ascii="仿宋_GB2312" w:hAnsi="仿宋_GB2312" w:eastAsia="仿宋_GB2312" w:cs="仿宋_GB2312"/>
          <w:sz w:val="32"/>
          <w:szCs w:val="32"/>
          <w:highlight w:val="none"/>
          <w:lang w:eastAsia="zh-CN"/>
        </w:rPr>
        <w:t>、科研项目等资金预算支出进度适当调整，允许年底完成预算支出。</w:t>
      </w: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zh-CN" w:eastAsia="zh-CN"/>
        </w:rPr>
        <w:t>增强预算编制的准确性，</w:t>
      </w:r>
      <w:r>
        <w:rPr>
          <w:rFonts w:hint="default" w:ascii="仿宋_GB2312" w:hAnsi="仿宋_GB2312" w:eastAsia="仿宋_GB2312" w:cs="仿宋_GB2312"/>
          <w:sz w:val="32"/>
          <w:szCs w:val="32"/>
          <w:highlight w:val="none"/>
          <w:lang w:eastAsia="zh-CN"/>
        </w:rPr>
        <w:t>便</w:t>
      </w:r>
      <w:r>
        <w:rPr>
          <w:rFonts w:hint="eastAsia" w:ascii="仿宋_GB2312" w:hAnsi="仿宋_GB2312" w:eastAsia="仿宋_GB2312" w:cs="仿宋_GB2312"/>
          <w:sz w:val="32"/>
          <w:szCs w:val="32"/>
          <w:highlight w:val="none"/>
          <w:lang w:val="zh-CN" w:eastAsia="zh-CN"/>
        </w:rPr>
        <w:t>于预算的严格执行。</w:t>
      </w:r>
    </w:p>
    <w:p>
      <w:pPr>
        <w:pStyle w:val="38"/>
        <w:keepNext w:val="0"/>
        <w:keepLines w:val="0"/>
        <w:pageBreakBefore w:val="0"/>
        <w:kinsoku/>
        <w:wordWrap/>
        <w:overflowPunct/>
        <w:topLinePunct w:val="0"/>
        <w:autoSpaceDE/>
        <w:autoSpaceDN/>
        <w:bidi w:val="0"/>
        <w:spacing w:line="576" w:lineRule="exact"/>
        <w:ind w:firstLine="632"/>
        <w:textAlignment w:val="auto"/>
        <w:rPr>
          <w:rFonts w:hint="default" w:ascii="仿宋_GB2312" w:hAnsi="仿宋_GB2312" w:eastAsia="仿宋_GB2312" w:cs="仿宋_GB2312"/>
          <w:sz w:val="32"/>
          <w:szCs w:val="32"/>
          <w:highlight w:val="none"/>
          <w:lang w:val="en-US" w:eastAsia="zh-CN"/>
        </w:rPr>
      </w:pPr>
    </w:p>
    <w:p>
      <w:pPr>
        <w:pStyle w:val="38"/>
        <w:keepNext w:val="0"/>
        <w:keepLines w:val="0"/>
        <w:pageBreakBefore w:val="0"/>
        <w:kinsoku/>
        <w:wordWrap/>
        <w:overflowPunct/>
        <w:topLinePunct w:val="0"/>
        <w:autoSpaceDE/>
        <w:autoSpaceDN/>
        <w:bidi w:val="0"/>
        <w:spacing w:line="576" w:lineRule="exact"/>
        <w:ind w:firstLine="632"/>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zh-CN"/>
        </w:rPr>
        <w:t>2024年市级部门整体支出绩效评价指标体系</w:t>
      </w:r>
    </w:p>
    <w:p>
      <w:pPr>
        <w:pStyle w:val="38"/>
        <w:keepNext w:val="0"/>
        <w:keepLines w:val="0"/>
        <w:pageBreakBefore w:val="0"/>
        <w:kinsoku/>
        <w:wordWrap/>
        <w:overflowPunct/>
        <w:topLinePunct w:val="0"/>
        <w:autoSpaceDE/>
        <w:autoSpaceDN/>
        <w:bidi w:val="0"/>
        <w:spacing w:line="576" w:lineRule="exact"/>
        <w:ind w:firstLine="632"/>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w:t>
      </w:r>
      <w:r>
        <w:rPr>
          <w:rFonts w:hint="eastAsia" w:ascii="仿宋_GB2312" w:hAnsi="仿宋_GB2312" w:eastAsia="仿宋_GB2312" w:cs="仿宋_GB2312"/>
          <w:sz w:val="32"/>
          <w:szCs w:val="32"/>
          <w:highlight w:val="none"/>
        </w:rPr>
        <w:t>部门预算项目支出绩效自评表（2023年度）</w:t>
      </w:r>
    </w:p>
    <w:p>
      <w:pPr>
        <w:pStyle w:val="38"/>
        <w:keepNext w:val="0"/>
        <w:keepLines w:val="0"/>
        <w:pageBreakBefore w:val="0"/>
        <w:kinsoku/>
        <w:wordWrap/>
        <w:overflowPunct/>
        <w:topLinePunct w:val="0"/>
        <w:autoSpaceDE/>
        <w:autoSpaceDN/>
        <w:bidi w:val="0"/>
        <w:spacing w:line="576"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仿宋_GB2312" w:hAnsi="仿宋_GB2312" w:eastAsia="仿宋_GB2312" w:cs="仿宋_GB2312"/>
          <w:color w:val="auto"/>
          <w:sz w:val="32"/>
          <w:szCs w:val="32"/>
          <w:lang w:val="zh-CN"/>
        </w:rPr>
        <w:sectPr>
          <w:footerReference r:id="rId8" w:type="first"/>
          <w:footerReference r:id="rId6" w:type="default"/>
          <w:footerReference r:id="rId7" w:type="even"/>
          <w:pgSz w:w="11906" w:h="16838"/>
          <w:pgMar w:top="2098" w:right="1531" w:bottom="1984" w:left="1531" w:header="851" w:footer="1134" w:gutter="0"/>
          <w:pgNumType w:fmt="decimal" w:start="1"/>
          <w:cols w:space="720" w:num="1"/>
          <w:titlePg/>
          <w:rtlGutter w:val="0"/>
          <w:docGrid w:type="linesAndChars" w:linePitch="579" w:charSpace="-849"/>
        </w:sectPr>
      </w:pPr>
      <w:r>
        <w:rPr>
          <w:rFonts w:hint="eastAsia" w:ascii="仿宋_GB2312" w:hAnsi="仿宋_GB2312" w:eastAsia="仿宋_GB2312" w:cs="仿宋_GB2312"/>
          <w:color w:val="auto"/>
          <w:sz w:val="32"/>
          <w:szCs w:val="32"/>
          <w:lang w:val="en-US" w:eastAsia="zh-CN"/>
        </w:rPr>
        <w:t xml:space="preserve">          </w:t>
      </w:r>
    </w:p>
    <w:p>
      <w:pPr>
        <w:widowControl/>
        <w:numPr>
          <w:ilvl w:val="0"/>
          <w:numId w:val="0"/>
        </w:numPr>
        <w:adjustRightInd/>
        <w:snapToGrid/>
        <w:spacing w:line="400" w:lineRule="exact"/>
        <w:ind w:firstLine="0" w:firstLineChars="0"/>
        <w:contextualSpacing/>
        <w:jc w:val="left"/>
        <w:rPr>
          <w:rFonts w:hint="eastAsia" w:ascii="黑体" w:hAnsi="黑体" w:eastAsia="黑体" w:cs="黑体"/>
          <w:color w:val="auto"/>
          <w:kern w:val="2"/>
          <w:sz w:val="28"/>
          <w:szCs w:val="28"/>
          <w:highlight w:val="none"/>
          <w:shd w:val="clear" w:color="auto" w:fill="auto"/>
          <w:lang w:val="en-US" w:eastAsia="zh-CN"/>
        </w:rPr>
      </w:pPr>
      <w:r>
        <w:rPr>
          <w:rFonts w:hint="eastAsia" w:ascii="黑体" w:hAnsi="黑体" w:eastAsia="黑体" w:cs="黑体"/>
          <w:color w:val="auto"/>
          <w:kern w:val="2"/>
          <w:sz w:val="28"/>
          <w:szCs w:val="28"/>
          <w:highlight w:val="none"/>
          <w:shd w:val="clear" w:color="auto" w:fill="auto"/>
          <w:lang w:val="zh-CN" w:eastAsia="zh-CN"/>
        </w:rPr>
        <w:t>附件</w:t>
      </w:r>
      <w:r>
        <w:rPr>
          <w:rFonts w:hint="eastAsia" w:ascii="黑体" w:hAnsi="黑体" w:eastAsia="黑体" w:cs="黑体"/>
          <w:color w:val="auto"/>
          <w:kern w:val="2"/>
          <w:sz w:val="28"/>
          <w:szCs w:val="28"/>
          <w:highlight w:val="none"/>
          <w:shd w:val="clear" w:color="auto" w:fill="auto"/>
          <w:lang w:val="en-US" w:eastAsia="zh-CN"/>
        </w:rPr>
        <w:t>1</w:t>
      </w:r>
    </w:p>
    <w:tbl>
      <w:tblPr>
        <w:tblStyle w:val="16"/>
        <w:tblpPr w:leftFromText="180" w:rightFromText="180" w:vertAnchor="text" w:horzAnchor="page" w:tblpX="1115" w:tblpY="568"/>
        <w:tblOverlap w:val="never"/>
        <w:tblW w:w="15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777"/>
        <w:gridCol w:w="658"/>
        <w:gridCol w:w="473"/>
        <w:gridCol w:w="1507"/>
        <w:gridCol w:w="4859"/>
        <w:gridCol w:w="3750"/>
        <w:gridCol w:w="153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504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52"/>
                <w:szCs w:val="5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2024年市级部门整体支出绩效评价指标体系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绩效指标</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指标</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分值</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指标解释</w:t>
            </w:r>
          </w:p>
        </w:tc>
        <w:tc>
          <w:tcPr>
            <w:tcW w:w="4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计分标准</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依据资料</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评价过程（只写扣分项的原因）</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自评</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一级</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指标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二级指标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三级</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指标</w:t>
            </w: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4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4"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部门预算管理（70分）</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预算编制（25分）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目标制定</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评价部门绩效目标是否要素完整、细化量化并集体决策。</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1.绩效目标编制要素完整的，得4分，否则酌情扣分。                                                       2.绩效指标细化量化的，得4分，否则酌情扣分。                                                                    </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 xml:space="preserve">3.评价部门绩效目标纳入部门党组（委）会（办公会）集体决策范围的得2分，否则不得分。                                                 </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要素完整指目标的完成指标及效益指标、满意度指标是否填写完整，根据编制绩效目标时市财政局的要求。指标细化量化指该定量表达的是否定量表达，定性表达是否明确具体。党组（委）会（办公会）会议记录、纪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无党组（委）会（办公会）会议记录、纪要。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目标完成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15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评价部门绩效目标实际实现程度与预期目标的偏离度。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以项目完成数量指标为核心，评价项目实际完成情况是否达到预期绩效目标，指标得分=达到预期绩效目标的部门预算项目个数/纳入绩效目标管理的部门预算项目个数*15。</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项目绩效目标申报表（数量指标）。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纳入绩效管理的项目8个，均已完成。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5"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                                                                             预算执行（25分）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支出控制</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部门公用经费及项目支出相关科目控制情况。</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计算部门日常公用经费、项目支出中“办公费、印刷费、水费、电费、物业管理费、维修（护）费、培训费、会议费”8个科目年初预算数与决算数偏差程度。                                              预决算偏差程度在10%以内的，得10分。偏差度在10%-20%之间的，得5分，偏差度超过20%的，不得分。                                           </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决算数：决算报表Z08_1、Z08_2、Z10_1、Z10_2、Z12相关科目合计数</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年初预算数：一体化系统—综合报表查询2022年—预算编制报表—部门预算批复（表12支出经济分类表）</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偏差程度=（决算数-预算数）的绝对值/决算数*100%。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经过计算，偏离度为6.42%，未超过10%。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4"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及时处置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评价部门开展绩效运行监控后，将绩效监控结果应用到预算调整的情况。</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1.当部门绩效监控调整取消额和结余注销额均不为零时，指标得分=部门项目支出绩效监控调整取消额÷(部门绩效监控调整取消额+预算结余注销额）*5                                                  2.当部门绩效监控调整取消额为零，结余注销额不为零时，指标得分=（1-5*结余注销额/年度预算总额）*5，结余注销额超过部门年度预算总额10%的，指标不得分。                  </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 xml:space="preserve">3.当部门绩效监控调整取消额与结余注销额均为零时，得满分。   </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决算报表（Z01全年预算数、CS01_1）</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年度预算总额：Z01全年预算数总计数。</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绩效监控调整取消额：调整前年初结转和结余-调整后年初结转和结余=0，则没有取消额。</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预算结余注销额：决算报表CS01_1归集上缴和缴回资金栏为0，表示当年没有注销，如果有数就是注销额。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4"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执行进度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评价部门在6、9、11月的预算执行情况。</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部门预算执行进度在6、9、11月应达到序时进度的80%、90%、90%，即实际支出进度分别达到40%、67.5%、82.5%。                                                     6、9、11月部门预算执行进度达到量化指标的分别得3、4、3分，未达到目标进度的的按其实际进度占目标进度的比重计算得分。                                           </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一体化系统—综合报表查询2022年—预算执行报表—预算执行（单位）—可执行指标执行情况表—“支付日期”填需查询的时间段，“预算单位”勾选本部门机关及所有下属单位—查询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6、9、10序时进度分别 为95.64%，20%、95%。得分 =3+20%/90%*4+3=6.88。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完成结果（20分）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预算完成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评价部门预算年终预算执行情况。</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部门预算12月预算执行进度达到100%的，得5分，未达100%的，按照实际进度量化计算得分。</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同上</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资金结余率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评价部门预算项目年终资金结余情况。                 </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部门预算项目资金结余率小于0.1的项目个数/部门预算项目总数*10。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项目资金结余率=1-“完成数”“占预算%”</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部门预算项目总数：一体化系统中“预算数”不为0的项目数量。</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一体化系统—综合报表查询2022年—预算执行报表—预算执行（单位）—可执行指标执行情况表—“支付日期”填需查询的时间段，“预算单位”勾选本部门机关及所有下属单位，“项目类别”勾选“31-部门项目”—查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纳入目标绩效管理的项目8个，有6个项目资金结余率小于0.1，因此得分7.5=6/8*10。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5"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违规记录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根据审计监督、财政检查结果反映部门上一年度部门预算管理是否合规。</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依据上一年度审计监督、财政检查结果，出现部门预算管理方面违纪违规问题的，每个问题扣0.5分，直至扣完。</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上一年度的审计监督、财政检查报告。</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出现1个问题，扣0.5分。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绩效结果应用（20分）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内部应用</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（6分）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预算挂钩</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评价部门内部绩效结果与预算挂钩情况。</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将内设机构和下属单位绩效自评纳入考核体系，建立对内设机构和下属单位预算与绩效挂钩机制的，得6分，否则酌情扣分。    </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相关制度文件。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6"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信息公开</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（4分)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自评公开</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评价部门是否按要求将部门整体绩效自评情况和自行组织的评价情况向社会公开。</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按要求将相关绩效信息随同决算公开的，得4分，否则不得分。</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政府或部门门户网站。</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4"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整改反馈</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（10分）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结果整改</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评价部门根据绩效管理结果整改问题、完善政策、改进管理的情况。</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针对绩效管理过程中（包括绩效目标核查、绩效监控核查和重点绩效评价）提出的问题，发现一处未整改的，扣2分，直至扣完。</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结果整改说明、整改报告，现场检查。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4"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应用反馈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评价部门按要求及时向财政部门反馈结果应用情况。</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部门在规定时间内向财政部门反馈应用绩效结果报告的，得满分，否则不得分。</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根据财政部门要求反馈的时间限制。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3" w:hRule="atLeast"/>
        </w:trPr>
        <w:tc>
          <w:tcPr>
            <w:tcW w:w="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自评质量（10分）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自评质量（10分）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自评准确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评价部门整体支出自评准确率。</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部门整体支出自评得分与评价组抽查得分差异在5%以内的，不扣分；在5%-10%之间的，扣4分，在10%-20%的，扣8分，在20%以上的，扣10分。（部门在自评时，此项指标无需打分，部门自评满分为90分）</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不涉及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自评总分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90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0"/>
                <w:szCs w:val="20"/>
                <w:u w:val="none"/>
              </w:rPr>
            </w:pP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504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b/>
                <w:i w:val="0"/>
                <w:color w:val="000000"/>
                <w:sz w:val="24"/>
                <w:szCs w:val="24"/>
                <w:u w:val="none"/>
              </w:rPr>
            </w:pPr>
          </w:p>
        </w:tc>
      </w:tr>
    </w:tbl>
    <w:p>
      <w:pPr>
        <w:widowControl/>
        <w:numPr>
          <w:ilvl w:val="0"/>
          <w:numId w:val="0"/>
        </w:numPr>
        <w:adjustRightInd/>
        <w:snapToGrid/>
        <w:spacing w:line="576" w:lineRule="exact"/>
        <w:ind w:firstLine="412" w:firstLineChars="200"/>
        <w:contextualSpacing/>
        <w:jc w:val="left"/>
        <w:rPr>
          <w:rFonts w:hint="default" w:ascii="Times New Roman" w:hAnsi="Times New Roman" w:eastAsia="仿宋_GB2312" w:cs="Times New Roman"/>
          <w:color w:val="auto"/>
          <w:kern w:val="2"/>
          <w:szCs w:val="32"/>
          <w:highlight w:val="none"/>
          <w:shd w:val="clear" w:color="auto" w:fill="auto"/>
          <w:lang w:val="zh-CN" w:eastAsia="zh-CN"/>
        </w:rPr>
      </w:pPr>
    </w:p>
    <w:p>
      <w:pPr>
        <w:widowControl/>
        <w:numPr>
          <w:ilvl w:val="0"/>
          <w:numId w:val="0"/>
        </w:numPr>
        <w:adjustRightInd/>
        <w:snapToGrid/>
        <w:spacing w:line="552" w:lineRule="exact"/>
        <w:ind w:firstLine="632" w:firstLineChars="200"/>
        <w:jc w:val="left"/>
        <w:rPr>
          <w:rFonts w:hint="default" w:ascii="Times New Roman" w:hAnsi="Times New Roman" w:eastAsia="仿宋_GB2312" w:cs="Times New Roman"/>
          <w:b w:val="0"/>
          <w:color w:val="auto"/>
          <w:kern w:val="2"/>
          <w:sz w:val="32"/>
          <w:szCs w:val="32"/>
          <w:shd w:val="clear" w:color="auto" w:fill="auto"/>
          <w:lang w:val="zh-CN"/>
        </w:rPr>
        <w:sectPr>
          <w:footerReference r:id="rId11" w:type="first"/>
          <w:footerReference r:id="rId9" w:type="default"/>
          <w:footerReference r:id="rId10" w:type="even"/>
          <w:pgSz w:w="16838" w:h="11906" w:orient="landscape"/>
          <w:pgMar w:top="1531" w:right="1531" w:bottom="1531" w:left="1531" w:header="851" w:footer="1134" w:gutter="0"/>
          <w:pgNumType w:fmt="decimal"/>
          <w:cols w:space="720" w:num="1"/>
          <w:titlePg/>
          <w:rtlGutter w:val="0"/>
          <w:docGrid w:type="linesAndChars" w:linePitch="579" w:charSpace="-849"/>
        </w:sectPr>
      </w:pPr>
    </w:p>
    <w:p>
      <w:pPr>
        <w:spacing w:line="360" w:lineRule="auto"/>
        <w:outlineLvl w:val="9"/>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eastAsia="zh-CN"/>
        </w:rPr>
        <w:t>附件</w:t>
      </w:r>
      <w:r>
        <w:rPr>
          <w:rFonts w:hint="eastAsia" w:ascii="黑体" w:hAnsi="黑体" w:eastAsia="黑体" w:cs="黑体"/>
          <w:b w:val="0"/>
          <w:bCs w:val="0"/>
          <w:color w:val="auto"/>
          <w:sz w:val="28"/>
          <w:szCs w:val="28"/>
          <w:highlight w:val="none"/>
          <w:lang w:val="en-US" w:eastAsia="zh-CN"/>
        </w:rPr>
        <w:t>2</w:t>
      </w:r>
    </w:p>
    <w:p>
      <w:pPr>
        <w:pStyle w:val="21"/>
        <w:spacing w:line="200" w:lineRule="exact"/>
        <w:rPr>
          <w:rFonts w:hint="default"/>
          <w:b w:val="0"/>
          <w:bCs w:val="0"/>
          <w:color w:val="auto"/>
          <w:sz w:val="32"/>
          <w:szCs w:val="24"/>
          <w:highlight w:val="none"/>
          <w:lang w:val="en-US" w:eastAsia="zh-CN"/>
        </w:rPr>
      </w:pPr>
    </w:p>
    <w:p>
      <w:pPr>
        <w:spacing w:line="700" w:lineRule="exact"/>
        <w:jc w:val="center"/>
        <w:outlineLvl w:val="9"/>
        <w:rPr>
          <w:rStyle w:val="19"/>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202</w:t>
      </w:r>
      <w:r>
        <w:rPr>
          <w:rFonts w:hint="default" w:ascii="方正小标宋简体" w:hAnsi="方正小标宋简体" w:eastAsia="方正小标宋简体" w:cs="方正小标宋简体"/>
          <w:b w:val="0"/>
          <w:bCs w:val="0"/>
          <w:color w:val="auto"/>
          <w:sz w:val="36"/>
          <w:szCs w:val="36"/>
          <w:highlight w:val="none"/>
          <w:lang w:val="en"/>
        </w:rPr>
        <w:t>3</w:t>
      </w:r>
      <w:r>
        <w:rPr>
          <w:rFonts w:hint="eastAsia" w:ascii="方正小标宋简体" w:hAnsi="方正小标宋简体" w:eastAsia="方正小标宋简体" w:cs="方正小标宋简体"/>
          <w:b w:val="0"/>
          <w:bCs w:val="0"/>
          <w:color w:val="auto"/>
          <w:sz w:val="36"/>
          <w:szCs w:val="36"/>
          <w:highlight w:val="none"/>
        </w:rPr>
        <w:t>年度特定目标类部门预算项目绩效目标自评表</w:t>
      </w:r>
    </w:p>
    <w:tbl>
      <w:tblPr>
        <w:tblStyle w:val="16"/>
        <w:tblpPr w:leftFromText="180" w:rightFromText="180" w:vertAnchor="text" w:horzAnchor="page" w:tblpX="1124" w:tblpY="294"/>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1295"/>
        <w:gridCol w:w="1179"/>
        <w:gridCol w:w="1744"/>
        <w:gridCol w:w="435"/>
        <w:gridCol w:w="828"/>
        <w:gridCol w:w="396"/>
        <w:gridCol w:w="948"/>
        <w:gridCol w:w="533"/>
        <w:gridCol w:w="682"/>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default" w:ascii="黑体" w:hAnsi="宋体" w:eastAsia="黑体" w:cs="黑体"/>
                <w:b/>
                <w:i w:val="0"/>
                <w:color w:val="000000"/>
                <w:kern w:val="0"/>
                <w:sz w:val="28"/>
                <w:szCs w:val="28"/>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项目名称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51090022T000004795993-电信网络服务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中国共产党遂宁市委员会党校部门</w:t>
            </w:r>
          </w:p>
        </w:tc>
        <w:tc>
          <w:tcPr>
            <w:tcW w:w="9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实施单位 （盖章）</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1.项目年度目标完成情况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项目年度目标</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1、确保互联网络的畅通；2、确保接入省委党校的专线畅通。保障办公、教学用网。</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按合同要求完成了全校的互联网及省委党校内网的接入，保障办公、教学用网。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2.项目实施内容及过程概述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完成了全校的互联网及省委党校内网的接入，教学用网，“拟县”考试用网正常使用。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年度预算数（万元）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调整后预算数</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14.40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14.40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财政专户管理资金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14.40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14.40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接入互联网服务，接入省委党校专线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1年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系统验收合格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98%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及时接入省委党校专线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90%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对保障办公、教学用网持续影响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使用人满意度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90%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评价结论</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此项目自评总分100分。</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1、满足了日常办公、智慧校园等工作正常开展；</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2、保障了拟任县处级党政领导职务政治理论水平任职资格考试，全市新任市厅级、县处级党政领导干部政治理论水平测试，研究生考试等工作需要用到电信网络专线的需求。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存在问题</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带宽不够。希望进一步增加带宽，让网络更流畅。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改进措施</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45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p>
            <w:pPr>
              <w:pStyle w:val="2"/>
              <w:rPr>
                <w:rFonts w:hint="eastAsia"/>
              </w:rPr>
            </w:pPr>
          </w:p>
        </w:tc>
        <w:tc>
          <w:tcPr>
            <w:tcW w:w="129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179"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744"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82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94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33"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68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19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项目名称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51090022T000004797914-关心下一代项目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中国共产党遂宁市委员会党校部门</w:t>
            </w:r>
          </w:p>
        </w:tc>
        <w:tc>
          <w:tcPr>
            <w:tcW w:w="9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实施单位 （盖章）</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1.项目年度目标完成情况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项目年度目标</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通过开展爱国主义教育、法制教育和关爱活动等关心下一代工作，达到营造青少年健康成长环境、强化青少年爱党爱国爱社会主义深厚情怀、教育引导青少年知法守法懂法用法主动宣传法律法规、和青少年特殊群体不失爱、不失管、不失学、不失志和营造青少年健康成长环境，确保青少年健康、茁壮成长，培养合格的社会主义接班人。</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保质保量，全面完成了年初目标任务。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2.项目实施内容及过程概述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是“六一”儿童节分别为联系的村（社区）26人进行走访慰问，并送去价值5200元的学习用具；为28名校内职工14岁以下子女赠送红色书籍，观看红色电影《闪闪的红星》。二是“双十个一”实践体验活动中组织33名14周岁以下少年儿童遂宁市青少年综合实践基地实践体验活动，并每人赠送一套红色书记。三是暖冬行动中为６名儿童赠送价值1800元学习文具。四是春节走访慰问活动中慰问贫困留守儿童２人，为每位儿童送去300元慰问金。五是我校派出常驻两个联系村人员开展法制宣传进校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年度预算数（万元）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调整后预算数</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财政专户管理资金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赠送红色书籍55人</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88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慰问留守儿童、困难家庭儿童26人次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34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有效传承红色基因，培养祖国合格接班人；增进父母与子女感情。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让留守儿童感受到党和政府的关怀，增强幸福感。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6月前完成赠书和第一次慰问工作；春节前完成第二次慰问工作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强化青少年道德建设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有所强化</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有所强化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强化青少年思想道德建设持续影响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帮扶对象满意度指标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关爱对象满意度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经济成本指标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控制在预算范围内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评价结论</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整个关工工作成效良好：通过赠送红色书籍，强化了青少年爱国主义情怀，为青少年扣好人生第一粒扣子夯实思想基础；通过开展亲子活动，加强父母与子女交流与了解，增进家庭成员感情，和谐家庭了氛围；通过走访慰问，让青少年真切感受到党和政府温暖关怀，深化了青少年与党的深厚感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存在问题</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改进措施</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color w:val="000000"/>
                <w:sz w:val="16"/>
                <w:szCs w:val="16"/>
                <w:u w:val="none"/>
              </w:rPr>
            </w:pPr>
            <w:r>
              <w:rPr>
                <w:rFonts w:hint="eastAsia" w:ascii="方正仿宋_GBK" w:hAnsi="方正仿宋_GBK" w:eastAsia="方正仿宋_GBK" w:cs="方正仿宋_GBK"/>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项目负责人：</w:t>
            </w:r>
          </w:p>
        </w:tc>
        <w:tc>
          <w:tcPr>
            <w:tcW w:w="45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29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179"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744"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82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94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33"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68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19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项目名称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51090022T000004798131-县区统筹办班培训费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中国共产党遂宁市委员会党校部门</w:t>
            </w:r>
          </w:p>
        </w:tc>
        <w:tc>
          <w:tcPr>
            <w:tcW w:w="9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实施单位 （盖章）</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1.项目年度目标完成情况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项目年度目标</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承办船山区、安居区、大英县的进修班、专题研讨班、培训班及其他班次，全面提升参训干部政治思想素质和履行职责能力，以问题为导向开展培训，引导干部运用所学理论和知识指导实践，以推动县区工作。</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顺利完成了各项目标任务。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2.项目实施内容及过程概述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承办船山区、安居区、大英县、蓬溪县的进修班、专题研讨班、培训班及其他班次共计48次，培训合格率100%，超额完成2023年培训计划及目标任务。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年度预算数（万元）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调整后预算数</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297.02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84.86%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1.预算执行率=84.86%；主要原因是根据实际办班情况年初预算时测算数是根据全封闭式管理预算，但是根据组织部统一安排，又未执行全封闭管理。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财政专户管理资金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297.02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84.86%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举办培训班次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48次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预算年度内及时完成培训任务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提升培训能力，达到好的培训效果。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培训效果好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培训内容可持续影响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学员满意度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经济成本指标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控制在预算范围内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297.02万元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评价结论</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自评得分100分，举办培训班次48次，培训合格率100%，学员及县区组织满意，没有不良反馈，提升了党员干部履职能力，达到了培训效果，超额完成目标任务。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存在问题</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预算不够精准，需进一步加强预算精准度。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改进措施</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项目负责人：</w:t>
            </w:r>
          </w:p>
        </w:tc>
        <w:tc>
          <w:tcPr>
            <w:tcW w:w="45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29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79"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744"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82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94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533"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68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9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项目名称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51090022T000004798153-专项科研经费补助项目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中国共产党遂宁市委员会党校部门</w:t>
            </w:r>
          </w:p>
        </w:tc>
        <w:tc>
          <w:tcPr>
            <w:tcW w:w="9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实施单位 （盖章）</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1.项目年度目标完成情况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项目年度目标</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理论视点》的编辑、审核、校对工作；校内课题的立项工作，立项评审工作；校内课题的调研活动的管理工作；校内调研课题的结项成果审核工作；校内调研课题的成果转化等各项工作；开展主题理论研讨等学术活动；开展科研咨政提能培训等。课题成果转化，研究经济社会问题，解决难题，有利于市委市府做出正确决策。</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推动《理论试点》向《咨政建议》改版，全年共完成6期编辑、审核和校对；完成校内课题45项立结项以及调研管理；主办和承办学术研讨会共2次；开展2次咨政提能培训；3篇咨政报告获市委市政府领导肯定性批示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2.项目实施内容及过程概述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1期《理论视点》编辑、送审工作，并参照省委党校将《理论视点》改版为《咨政建议》，全年成5期《咨政建议》的编辑、送审工作。对校内老师课题的调研情况梳理了台账，并收集了相关调研资料；学术委员会老师完成了校内调研课题的立结项评审工作；承办了“川渝蓉两地三方党校（行政学院）系统科研协作暨成渝中部地区高质量发展理论研讨会”，主办了全市党校（行政学院）系统“深入学习贯彻习近平总书记关于党校工作重要论述精神，推动党校事业高质量发展”理论研讨会；共举办两期科研提能培训会；促进课题成果转化，全年共有3篇决策咨询获得了领导肯定性批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年度预算数（万元）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调整后预算数</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10.90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10.90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10.81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99.19%</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10.90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10.90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10.81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99.19%</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财政专户管理资金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《理论视点》编撰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期</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学术活动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提能培训</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调研课题立项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45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课题成果转化</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编印成果集</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2023年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2023年完成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完成科研课题，提升水平，服务社会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 xml:space="preserve">持续提升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推动社会可持续性发展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获肯定性批示或获奖</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经济成本指标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所需资金</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10.81万元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评价结论</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自评的摁100分。2023年，科研科按质按量完成了相应绩效指标。扎实开展课题研究，组织校内教师完成各级调研项目45项。广泛搭建交流平台，主办了全市党校（行政学院）系统“深入学习贯彻习近平总书记关于党校工作重要论述精神，推动党校事业高质量发展”理论研讨会，并高规格承办了“川渝蓉两地三方党校（行政学院）系统科研协作暨成渝中部地区高质量发展理论研讨会”；深入开展理论研究，校内教师在各级刊物上公开发文30篇；推进《理论视点》向《咨政建议》改版，组织教职工着力咨政建言，共有3篇决策咨询获得了领导肯定性批示；为切实提高全市党校（行政学院）系统教师科研能力和水平，全年共举办两期科研提能培训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存在问题</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市委党校科研经费整体偏少，仅够成果集、论文集等文印资料费和专家评审指导劳务费，无法对立项课题开展高质量研究进行全方位资助，严重影响课题质量和资政成效。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改进措施</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向财政积极争取更多的科研专项经费。2.切实落实《科研和决策咨询项目经费管理办法》。对标省、市财经政策和纪律，根据政策要求和我校实际，修订完善《科研和决策咨询项目经费管理办法》，改变过去结项资助方式，实行立项资助，明确合规的、可操作的资助项目和报销流程，为教职工开展课题研究提供及时的、必要的经费保障，提高课题结项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项目负责人：</w:t>
            </w:r>
          </w:p>
        </w:tc>
        <w:tc>
          <w:tcPr>
            <w:tcW w:w="45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29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79"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744"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82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94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533"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68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9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项目名称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51090022T000004798437-师资培训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中国共产党遂宁市委员会党校部门</w:t>
            </w:r>
          </w:p>
        </w:tc>
        <w:tc>
          <w:tcPr>
            <w:tcW w:w="9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实施单位 （盖章）</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1.项目年度目标完成情况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项目年度目标</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进一步深入贯彻习近平新时代中国特色社会主义思想和习近平总书记在中央党校建校90周年庆祝大会暨2023年春季开学典礼上的重要讲话精神、认真贯彻落实党的二十大，省委十二届三次全会、市委八届六次全会精神和全国全省党校（行政学院）校（院）长会议精神，深入践行市委“对标跨越、提质提速、赶超进位”工作要求，切实提高全市党校系统骨干教师和管理人员“为党育才，为党献策”的能力水平。</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根据《2023年党员干部教育培训计划》以及市委组织部相关批示，我校（院）于2023年7月3日至2023年 7月7日组织开展了2023年全市党校系统深入学习贯彻习近平新时代中国特色社会主义思想师资提能培训，培训取得圆满成功。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2.项目实施内容及过程概述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为了切实提高全市党校系统骨干教师和管理人员“为党育才、为党献策”的能力水平，按照市委组织部《2023年党员干部教育培训计划》，2023年7月3日—2023年7月8日赴中共北海市委党校举办2023年遂宁市党校系统深入学习贯彻习近平新时代中国特色社会主义思想师资提能培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年度预算数（万元）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调整后预算数</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11.30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11.30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财政专户管理资金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培训教师</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50人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开展师资培训</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9月底完成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9月底完成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7月完成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可持续发展指标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持续提升我市教师理论水平和管理水平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 xml:space="preserve">持续提升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培训对象及领导满意度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经济成本指标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不超培训费标准，厉行节约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厉行节约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未超培训费标准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评价结论</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自评得分100分，进一步深入学习贯彻习近平新时代中国特色社会主义思想和习近平总书记在中央党校建校90周年庆祝大会暨2023年春季学期开学典礼上的重要讲话精神，深学细悟党的二十大精神，培训期间，课程设置重点围绕习近平新时代中国特色社会主义思想，精准安排《牢牢把握以中国式现代化推进中华民族伟大复兴的使命任务》《习近平经济思想》等优质课程，通过理论专题与现场党课相结合的方式，确保培训效果走深走实、入脑入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存在问题</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改进措施</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项目负责人：</w:t>
            </w:r>
          </w:p>
        </w:tc>
        <w:tc>
          <w:tcPr>
            <w:tcW w:w="45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29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79"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744"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82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94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533"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68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9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项目名称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51090022T000004798790-办公设备采购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中国共产党遂宁市委员会党校部门</w:t>
            </w:r>
          </w:p>
        </w:tc>
        <w:tc>
          <w:tcPr>
            <w:tcW w:w="9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实施单位 （盖章）</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1.项目年度目标完成情况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项目年度目标</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为新调入人员购买一批办公设备，保证工作顺利开展，完成市委市府交办的工作任务</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顺利完成2023年 办公设备购置任务。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2.项目实施内容及过程概述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电脑、打印机以及软件系统等涉密设备由市公共资源交易中心组织采购，通过询价的方式确定遂宁市万洪商贸有限公司为供应商，碎纸机、高拍仪由我校（院）自行组织采购，共计花费8.44万元。所有办公设备配送后，我校（院）及时组织教职工进行验收，完成了采购项目各个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年度预算数（万元）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调整后预算数</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8.61</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8.61</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98.00%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财政专户管理资金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8.61</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8.61</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98.00%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采购笔记本电脑、碎纸机、打印机等</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批</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购入办公设备验收合格率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提出采购计划后，送达并安装时间控制在一周内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天</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提升服务能力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有所提升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办公设备持续带给教职员工学习、工作效能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教职工使用办公设备满意度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经济成本指标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控制在预算范围内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8.6116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8.44万元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评价结论</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自评得分为100分，该批办公设备采购较好完成了各项绩效指标，办公设备在数量、质量、可持续影响等方面都达到最好效用，自评得分为100分，完成该批办公教学设备采购有助于方便教职工开展工作，节约了外出打印费用，极大提升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存在问题</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改进措施</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项目负责人：</w:t>
            </w:r>
          </w:p>
        </w:tc>
        <w:tc>
          <w:tcPr>
            <w:tcW w:w="45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29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79"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744"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82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94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533"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68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9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项目名称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51090023T000008739496-兴学商务中心租赁费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中国共产党遂宁市委员会党校部门</w:t>
            </w:r>
          </w:p>
        </w:tc>
        <w:tc>
          <w:tcPr>
            <w:tcW w:w="9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实施单位 （盖章）</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1.项目年度目标完成情况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项目年度目标</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按照遂财〔2020〕年295号文件的要求，市兴康立中心作为兴商务中心投资建设业主，负责党校规划、建设和场地管理，财政以20年为期限分步分期提供资金补助。党校每年按照财政实际拨付款项支付场地租赁费。</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租入校园场地1所，顺利完成了2023年目标任务。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2.项目实施内容及过程概述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与遂宁市兴康立实业有限公司协商一致，签订2023年度新校区（兴学商务中心）租赁合同，细致约定双方权利义务，有效保障我校（院）日常办公、各项教学培训活动的正常开展，为干部教育培训提质增效奠定坚实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年度预算数（万元）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调整后预算数</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3,065.00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3,065.00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3,065.00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3,065.00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财政专户管理资金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党校场地租赁</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竣工验收合格率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严格在合同规定的期限内完成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2023年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2023年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效益指标</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提高履职或服务效率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凭借智慧校园为学员提供更好的服务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租赁期限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20年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市委市政府党校及社会对党校办公运营满意度95%以上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经济成本指标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3065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3065万元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评价结论</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新校区场地租赁自评得分为100分，在产出指标、效益指标已经满意度等方面均达到了理想效果。新校区占地119.56亩，建筑面积3.5万平方米，有功能较为完备的教学楼、行政楼、学员宿舍、学员食堂、图书馆、运动场馆、学术报告厅、专家公寓等，布局合理，环境优美，可同时容纳1500余人培训、600余人就餐、400余人住宿，我校（院）干部教育办学基础设施提档升级，干部教育培训“质”“量”同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存在问题</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改进措施</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项目负责人：</w:t>
            </w:r>
          </w:p>
        </w:tc>
        <w:tc>
          <w:tcPr>
            <w:tcW w:w="45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29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79"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744"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82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948"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533"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68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192" w:type="dxa"/>
            <w:tcBorders>
              <w:top w:val="nil"/>
              <w:left w:val="nil"/>
              <w:bottom w:val="nil"/>
              <w:right w:val="nil"/>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项目名称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51090023T000009638788-校（院）汽车租赁服务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中国共产党遂宁市委员会党校部门</w:t>
            </w:r>
          </w:p>
        </w:tc>
        <w:tc>
          <w:tcPr>
            <w:tcW w:w="9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实施单位 （盖章）</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中国共产党遂宁市委员会党校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项目基本情况</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1.项目年度目标完成情况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项目年度目标</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规范校（院）采购工作，开展车辆租赁服务政府采购，保障学校办学及日常用车，维持校（院）正常运转。</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开展车辆租赁服务政府采购，保障学校办学及日常用车，维持校（院）正常运转。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2.项目实施内容及过程概述</w:t>
            </w:r>
          </w:p>
        </w:tc>
        <w:tc>
          <w:tcPr>
            <w:tcW w:w="79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委托市公共资源交易中心代理校（院）汽车租赁服务，通过竞争性磋商的方式，确定遂宁市凯鑫汽车租赁服务有限公司为我校（院）2023年度汽车租赁服务供应商，服务日期从2023年9月28日至2023年12月31日，详细约定租用车型价格、双方权利义务等内容，有效保障我校（院）干部教育培训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预算执行情况（10分）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年度预算数（万元）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调整后预算数</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43.8</w:t>
            </w:r>
            <w:r>
              <w:rPr>
                <w:rFonts w:hint="default" w:ascii="方正仿宋_GBK" w:hAnsi="方正仿宋_GBK" w:eastAsia="方正仿宋_GBK" w:cs="方正仿宋_GBK"/>
                <w:i w:val="0"/>
                <w:color w:val="000000"/>
                <w:kern w:val="0"/>
                <w:sz w:val="18"/>
                <w:szCs w:val="18"/>
                <w:u w:val="none"/>
                <w:lang w:val="en" w:eastAsia="zh-CN" w:bidi="ar"/>
              </w:rPr>
              <w:t>3</w:t>
            </w:r>
            <w:r>
              <w:rPr>
                <w:rFonts w:hint="eastAsia" w:ascii="方正仿宋_GBK" w:hAnsi="方正仿宋_GBK" w:eastAsia="方正仿宋_GBK" w:cs="方正仿宋_GBK"/>
                <w:i w:val="0"/>
                <w:color w:val="000000"/>
                <w:kern w:val="0"/>
                <w:sz w:val="18"/>
                <w:szCs w:val="18"/>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4.38</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1.预算执行率=预算执行数/调整后预算数=43.8</w:t>
            </w:r>
            <w:r>
              <w:rPr>
                <w:rFonts w:hint="default" w:ascii="方正仿宋_GBK" w:hAnsi="方正仿宋_GBK" w:eastAsia="方正仿宋_GBK" w:cs="方正仿宋_GBK"/>
                <w:i w:val="0"/>
                <w:color w:val="000000"/>
                <w:kern w:val="0"/>
                <w:sz w:val="18"/>
                <w:szCs w:val="18"/>
                <w:u w:val="none"/>
                <w:lang w:val="en" w:eastAsia="zh-CN" w:bidi="ar"/>
              </w:rPr>
              <w:t>3</w:t>
            </w:r>
            <w:r>
              <w:rPr>
                <w:rFonts w:hint="eastAsia" w:ascii="方正仿宋_GBK" w:hAnsi="方正仿宋_GBK" w:eastAsia="方正仿宋_GBK" w:cs="方正仿宋_GBK"/>
                <w:i w:val="0"/>
                <w:color w:val="000000"/>
                <w:kern w:val="0"/>
                <w:sz w:val="18"/>
                <w:szCs w:val="18"/>
                <w:u w:val="none"/>
                <w:lang w:val="en-US" w:eastAsia="zh-CN" w:bidi="ar"/>
              </w:rPr>
              <w:t>%，主要原因是我校（院）租车项目启动较晚，期间流标一次，耽误了项目执行进度;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财政专户管理资金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30.00</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43.8</w:t>
            </w:r>
            <w:r>
              <w:rPr>
                <w:rFonts w:hint="default" w:ascii="方正仿宋_GBK" w:hAnsi="方正仿宋_GBK" w:eastAsia="方正仿宋_GBK" w:cs="方正仿宋_GBK"/>
                <w:i w:val="0"/>
                <w:color w:val="000000"/>
                <w:kern w:val="0"/>
                <w:sz w:val="18"/>
                <w:szCs w:val="18"/>
                <w:u w:val="none"/>
                <w:lang w:val="en" w:eastAsia="zh-CN" w:bidi="ar"/>
              </w:rPr>
              <w:t>3</w:t>
            </w:r>
            <w:r>
              <w:rPr>
                <w:rFonts w:hint="eastAsia" w:ascii="方正仿宋_GBK" w:hAnsi="方正仿宋_GBK" w:eastAsia="方正仿宋_GBK" w:cs="方正仿宋_GBK"/>
                <w:i w:val="0"/>
                <w:color w:val="000000"/>
                <w:kern w:val="0"/>
                <w:sz w:val="18"/>
                <w:szCs w:val="18"/>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其他资金</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绩效指标（90分）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完成值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租入车辆车况良好，安全性能高，不发生安全事故。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用车需求审批后，立即执行。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小时</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24小时内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效益指标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持续满足校（院）用车需求，保障培训质量。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满足</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满足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教职工及学员满意度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基本满意，无不良反馈</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基本满意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经济成本指标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预算范围内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13.15万元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94.38</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评价结论</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校（院）汽车租赁项目自评得分94.4分，在产出、效益以及满意度等方面取得了理想效果，因汽车租赁项目采购了两次才成功，耽误了项目执行进度，在资金预算执行层面得分较低。汽车租赁项目有效保障了日常干部教育异地培训和外出现场教学，保障了学员出行需要，提升了干部教育培训的质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存在问题</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改进措施</w:t>
            </w:r>
          </w:p>
        </w:tc>
        <w:tc>
          <w:tcPr>
            <w:tcW w:w="9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项目负责人：</w:t>
            </w:r>
          </w:p>
        </w:tc>
        <w:tc>
          <w:tcPr>
            <w:tcW w:w="45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财务负责人：</w:t>
            </w:r>
          </w:p>
        </w:tc>
      </w:tr>
    </w:tbl>
    <w:p>
      <w:pPr>
        <w:widowControl/>
        <w:numPr>
          <w:ilvl w:val="0"/>
          <w:numId w:val="0"/>
        </w:numPr>
        <w:adjustRightInd/>
        <w:snapToGrid/>
        <w:spacing w:line="240" w:lineRule="exact"/>
        <w:ind w:firstLine="640" w:firstLineChars="200"/>
        <w:jc w:val="left"/>
        <w:rPr>
          <w:rFonts w:hint="default" w:ascii="Times New Roman" w:hAnsi="Times New Roman" w:eastAsia="仿宋_GB2312" w:cs="Times New Roman"/>
          <w:b w:val="0"/>
          <w:color w:val="auto"/>
          <w:kern w:val="2"/>
          <w:sz w:val="32"/>
          <w:szCs w:val="32"/>
          <w:shd w:val="clear" w:color="auto" w:fill="auto"/>
          <w:lang w:val="zh-CN"/>
        </w:rPr>
      </w:pPr>
    </w:p>
    <w:p>
      <w:pPr>
        <w:spacing w:line="600" w:lineRule="exact"/>
        <w:jc w:val="center"/>
        <w:outlineLvl w:val="0"/>
        <w:rPr>
          <w:rFonts w:hint="eastAsia" w:ascii="黑体" w:hAnsi="黑体" w:eastAsia="黑体"/>
          <w:color w:val="auto"/>
          <w:sz w:val="44"/>
          <w:szCs w:val="44"/>
          <w:highlight w:val="none"/>
        </w:rPr>
      </w:pPr>
      <w:bookmarkStart w:id="60" w:name="_Toc15396618"/>
    </w:p>
    <w:p>
      <w:pPr>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p>
    <w:p>
      <w:pPr>
        <w:pStyle w:val="2"/>
        <w:rPr>
          <w:rFonts w:hint="eastAsia"/>
        </w:rPr>
      </w:pPr>
    </w:p>
    <w:p>
      <w:pPr>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 w:val="0"/>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w:t>
      </w:r>
      <w:r>
        <w:rPr>
          <w:rStyle w:val="30"/>
          <w:rFonts w:hint="eastAsia" w:ascii="方正小标宋简体" w:hAnsi="方正小标宋简体" w:eastAsia="方正小标宋简体" w:cs="方正小标宋简体"/>
          <w:b w:val="0"/>
          <w:color w:val="auto"/>
          <w:sz w:val="44"/>
          <w:szCs w:val="44"/>
          <w:highlight w:val="none"/>
        </w:rPr>
        <w:t>五部分 附表</w:t>
      </w:r>
      <w:bookmarkEnd w:id="58"/>
      <w:bookmarkEnd w:id="60"/>
      <w:bookmarkStart w:id="61" w:name="_Toc15396619"/>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b w:val="0"/>
          <w:color w:val="auto"/>
          <w:highlight w:val="none"/>
        </w:rPr>
      </w:pPr>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color w:val="auto"/>
          <w:highlight w:val="none"/>
        </w:rPr>
        <w:t>一、收</w:t>
      </w:r>
      <w:r>
        <w:rPr>
          <w:rStyle w:val="31"/>
          <w:rFonts w:hint="eastAsia" w:ascii="仿宋_GB2312" w:hAnsi="仿宋_GB2312" w:eastAsia="仿宋_GB2312" w:cs="仿宋_GB2312"/>
          <w:b w:val="0"/>
          <w:bCs w:val="0"/>
          <w:color w:val="auto"/>
          <w:highlight w:val="none"/>
        </w:rPr>
        <w:t>入支出决算总表</w:t>
      </w:r>
      <w:bookmarkEnd w:id="61"/>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bookmarkStart w:id="62" w:name="_Toc15396620"/>
      <w:r>
        <w:rPr>
          <w:rFonts w:hint="eastAsia" w:ascii="仿宋_GB2312" w:hAnsi="仿宋_GB2312" w:eastAsia="仿宋_GB2312" w:cs="仿宋_GB2312"/>
          <w:b w:val="0"/>
          <w:color w:val="auto"/>
          <w:highlight w:val="none"/>
        </w:rPr>
        <w:t>二、收</w:t>
      </w:r>
      <w:r>
        <w:rPr>
          <w:rStyle w:val="31"/>
          <w:rFonts w:hint="eastAsia" w:ascii="仿宋_GB2312" w:hAnsi="仿宋_GB2312" w:eastAsia="仿宋_GB2312" w:cs="仿宋_GB2312"/>
          <w:b w:val="0"/>
          <w:bCs w:val="0"/>
          <w:color w:val="auto"/>
          <w:highlight w:val="none"/>
        </w:rPr>
        <w:t>入决算表</w:t>
      </w:r>
      <w:bookmarkEnd w:id="62"/>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bookmarkStart w:id="63" w:name="_Toc15396621"/>
      <w:r>
        <w:rPr>
          <w:rStyle w:val="31"/>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color w:val="auto"/>
          <w:highlight w:val="none"/>
        </w:rPr>
        <w:t>支</w:t>
      </w:r>
      <w:r>
        <w:rPr>
          <w:rStyle w:val="31"/>
          <w:rFonts w:hint="eastAsia" w:ascii="仿宋_GB2312" w:hAnsi="仿宋_GB2312" w:eastAsia="仿宋_GB2312" w:cs="仿宋_GB2312"/>
          <w:b w:val="0"/>
          <w:bCs w:val="0"/>
          <w:color w:val="auto"/>
          <w:highlight w:val="none"/>
        </w:rPr>
        <w:t>出决算表</w:t>
      </w:r>
      <w:bookmarkEnd w:id="63"/>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b w:val="0"/>
          <w:color w:val="auto"/>
          <w:highlight w:val="none"/>
        </w:rPr>
      </w:pPr>
      <w:bookmarkStart w:id="64" w:name="_Toc15396622"/>
      <w:r>
        <w:rPr>
          <w:rStyle w:val="31"/>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color w:val="auto"/>
          <w:highlight w:val="none"/>
        </w:rPr>
        <w:t>财</w:t>
      </w:r>
      <w:r>
        <w:rPr>
          <w:rStyle w:val="31"/>
          <w:rFonts w:hint="eastAsia" w:ascii="仿宋_GB2312" w:hAnsi="仿宋_GB2312" w:eastAsia="仿宋_GB2312" w:cs="仿宋_GB2312"/>
          <w:b w:val="0"/>
          <w:bCs w:val="0"/>
          <w:color w:val="auto"/>
          <w:highlight w:val="none"/>
        </w:rPr>
        <w:t>政拨款收入支出决算总表</w:t>
      </w:r>
      <w:bookmarkEnd w:id="64"/>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Style w:val="31"/>
          <w:rFonts w:hint="eastAsia" w:ascii="仿宋_GB2312" w:hAnsi="仿宋_GB2312" w:eastAsia="仿宋_GB2312" w:cs="仿宋_GB2312"/>
          <w:b w:val="0"/>
          <w:bCs w:val="0"/>
          <w:color w:val="auto"/>
          <w:highlight w:val="none"/>
        </w:rPr>
      </w:pPr>
      <w:bookmarkStart w:id="65" w:name="_Toc15396623"/>
      <w:r>
        <w:rPr>
          <w:rStyle w:val="31"/>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color w:val="auto"/>
          <w:highlight w:val="none"/>
        </w:rPr>
        <w:t>财</w:t>
      </w:r>
      <w:r>
        <w:rPr>
          <w:rStyle w:val="31"/>
          <w:rFonts w:hint="eastAsia" w:ascii="仿宋_GB2312" w:hAnsi="仿宋_GB2312" w:eastAsia="仿宋_GB2312" w:cs="仿宋_GB2312"/>
          <w:b w:val="0"/>
          <w:bCs w:val="0"/>
          <w:color w:val="auto"/>
          <w:highlight w:val="none"/>
        </w:rPr>
        <w:t>政拨款支出决算明细表</w:t>
      </w:r>
      <w:bookmarkEnd w:id="65"/>
      <w:bookmarkStart w:id="66" w:name="_Toc15396624"/>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r>
        <w:rPr>
          <w:rStyle w:val="31"/>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般公共预算财政拨款支出决算表</w:t>
      </w:r>
      <w:bookmarkEnd w:id="66"/>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bookmarkStart w:id="67" w:name="_Toc15396625"/>
      <w:r>
        <w:rPr>
          <w:rStyle w:val="31"/>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般公共预算财政拨款支出决算明细表</w:t>
      </w:r>
      <w:bookmarkEnd w:id="67"/>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bookmarkStart w:id="68" w:name="_Toc15396626"/>
      <w:r>
        <w:rPr>
          <w:rStyle w:val="31"/>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般公共预算财政拨款基本支出决算明细表</w:t>
      </w:r>
      <w:bookmarkEnd w:id="68"/>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bookmarkStart w:id="69" w:name="_Toc15396627"/>
      <w:r>
        <w:rPr>
          <w:rStyle w:val="31"/>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般公共预算财政拨款项目支出决算表</w:t>
      </w:r>
      <w:bookmarkEnd w:id="69"/>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bookmarkStart w:id="70" w:name="_Toc15396628"/>
      <w:r>
        <w:rPr>
          <w:rStyle w:val="31"/>
          <w:rFonts w:hint="eastAsia" w:ascii="仿宋_GB2312" w:hAnsi="仿宋_GB2312" w:eastAsia="仿宋_GB2312" w:cs="仿宋_GB2312"/>
          <w:b w:val="0"/>
          <w:bCs w:val="0"/>
          <w:color w:val="auto"/>
          <w:highlight w:val="none"/>
        </w:rPr>
        <w:t>十、</w:t>
      </w:r>
      <w:bookmarkEnd w:id="70"/>
      <w:r>
        <w:rPr>
          <w:rFonts w:hint="eastAsia" w:ascii="仿宋_GB2312" w:hAnsi="仿宋_GB2312" w:eastAsia="仿宋_GB2312" w:cs="仿宋_GB2312"/>
          <w:b w:val="0"/>
          <w:color w:val="auto"/>
          <w:highlight w:val="none"/>
        </w:rPr>
        <w:t>政</w:t>
      </w:r>
      <w:r>
        <w:rPr>
          <w:rStyle w:val="31"/>
          <w:rFonts w:hint="eastAsia" w:ascii="仿宋_GB2312" w:hAnsi="仿宋_GB2312" w:eastAsia="仿宋_GB2312" w:cs="仿宋_GB2312"/>
          <w:b w:val="0"/>
          <w:bCs w:val="0"/>
          <w:color w:val="auto"/>
          <w:highlight w:val="none"/>
        </w:rPr>
        <w:t>府性基金预算财政拨款收入支出决算表</w:t>
      </w:r>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bookmarkStart w:id="71" w:name="_Toc15396629"/>
      <w:r>
        <w:rPr>
          <w:rStyle w:val="31"/>
          <w:rFonts w:hint="eastAsia" w:ascii="仿宋_GB2312" w:hAnsi="仿宋_GB2312" w:eastAsia="仿宋_GB2312" w:cs="仿宋_GB2312"/>
          <w:b w:val="0"/>
          <w:bCs w:val="0"/>
          <w:color w:val="auto"/>
          <w:highlight w:val="none"/>
        </w:rPr>
        <w:t>十一</w:t>
      </w:r>
      <w:bookmarkEnd w:id="71"/>
      <w:r>
        <w:rPr>
          <w:rStyle w:val="31"/>
          <w:rFonts w:hint="eastAsia" w:ascii="仿宋_GB2312" w:hAnsi="仿宋_GB2312" w:eastAsia="仿宋_GB2312" w:cs="仿宋_GB2312"/>
          <w:b w:val="0"/>
          <w:bCs w:val="0"/>
          <w:color w:val="auto"/>
          <w:highlight w:val="none"/>
          <w:lang w:eastAsia="zh-CN"/>
        </w:rPr>
        <w:t>、</w:t>
      </w:r>
      <w:r>
        <w:rPr>
          <w:rStyle w:val="31"/>
          <w:rFonts w:hint="eastAsia" w:ascii="仿宋_GB2312" w:hAnsi="仿宋_GB2312" w:eastAsia="仿宋_GB2312" w:cs="仿宋_GB2312"/>
          <w:b w:val="0"/>
          <w:bCs w:val="0"/>
          <w:color w:val="auto"/>
          <w:highlight w:val="none"/>
        </w:rPr>
        <w:t>国有资本经营预算财政拨款收入支出决算表</w:t>
      </w:r>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highlight w:val="none"/>
        </w:rPr>
      </w:pPr>
      <w:bookmarkStart w:id="72" w:name="_Toc15396630"/>
      <w:r>
        <w:rPr>
          <w:rStyle w:val="31"/>
          <w:rFonts w:hint="eastAsia" w:ascii="仿宋_GB2312" w:hAnsi="仿宋_GB2312" w:eastAsia="仿宋_GB2312" w:cs="仿宋_GB2312"/>
          <w:b w:val="0"/>
          <w:bCs w:val="0"/>
          <w:color w:val="auto"/>
          <w:highlight w:val="none"/>
        </w:rPr>
        <w:t>十二、</w:t>
      </w:r>
      <w:bookmarkEnd w:id="72"/>
      <w:r>
        <w:rPr>
          <w:rStyle w:val="31"/>
          <w:rFonts w:hint="eastAsia" w:ascii="仿宋_GB2312" w:hAnsi="仿宋_GB2312" w:eastAsia="仿宋_GB2312" w:cs="仿宋_GB2312"/>
          <w:b w:val="0"/>
          <w:bCs w:val="0"/>
          <w:color w:val="auto"/>
          <w:highlight w:val="none"/>
        </w:rPr>
        <w:t>国有资本经营预算财政拨款支出决算表</w:t>
      </w:r>
    </w:p>
    <w:p>
      <w:pPr>
        <w:pStyle w:val="6"/>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Style w:val="31"/>
          <w:rFonts w:hint="eastAsia" w:ascii="仿宋_GB2312" w:hAnsi="仿宋_GB2312" w:eastAsia="仿宋_GB2312" w:cs="仿宋_GB2312"/>
          <w:b w:val="0"/>
          <w:bCs w:val="0"/>
          <w:color w:val="auto"/>
          <w:highlight w:val="none"/>
        </w:rPr>
      </w:pPr>
      <w:bookmarkStart w:id="73" w:name="_Toc15396631"/>
      <w:r>
        <w:rPr>
          <w:rStyle w:val="31"/>
          <w:rFonts w:hint="eastAsia" w:ascii="仿宋_GB2312" w:hAnsi="仿宋_GB2312" w:eastAsia="仿宋_GB2312" w:cs="仿宋_GB2312"/>
          <w:b w:val="0"/>
          <w:bCs w:val="0"/>
          <w:color w:val="auto"/>
          <w:highlight w:val="none"/>
        </w:rPr>
        <w:t>十三、</w:t>
      </w:r>
      <w:bookmarkEnd w:id="73"/>
      <w:r>
        <w:rPr>
          <w:rFonts w:hint="eastAsia" w:ascii="仿宋_GB2312" w:hAnsi="仿宋_GB2312" w:eastAsia="仿宋_GB2312" w:cs="仿宋_GB2312"/>
          <w:b w:val="0"/>
          <w:color w:val="auto"/>
          <w:highlight w:val="none"/>
        </w:rPr>
        <w:t>财政拨款“三公”经费支出决算表</w:t>
      </w:r>
    </w:p>
    <w:p>
      <w:pPr>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eastAsia="仿宋"/>
          <w:color w:val="auto"/>
          <w:highlight w:val="none"/>
          <w:lang w:eastAsia="zh-CN"/>
        </w:rPr>
      </w:pPr>
    </w:p>
    <w:sectPr>
      <w:footerReference r:id="rId13" w:type="first"/>
      <w:footerReference r:id="rId12"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35B0NFQIAABUEAAAOAAAAAAAAAAEAIAAAADUBAABkcnMvZTJvRG9jLnhtbFBLBQYAAAAABgAG&#10;AFkBAAC8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0" w:firstLine="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ICWlnYUAgAAFQQAAA4AAAAAAAAAAQAgAAAANQEAAGRycy9lMm9Eb2MueG1sUEsFBgAAAAAGAAYA&#10;WQEAALs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ascii="宋体" w:hAnsi="宋体" w:cs="宋体"/>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宋体" w:hAnsi="宋体" w:cs="宋体"/>
                              <w:sz w:val="28"/>
                              <w:szCs w:val="28"/>
                            </w:rPr>
                            <w:t>—</w:t>
                          </w:r>
                        </w:p>
                        <w:p>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BGCRv64BAABNAwAADgAAAAAAAAABACAAAAA0AQAAZHJzL2Uyb0RvYy54bWxQ&#10;SwUGAAAAAAYABgBZAQAAVAUAAAAA&#10;">
              <v:fill on="f" focussize="0,0"/>
              <v:stroke on="f"/>
              <v:imagedata o:title=""/>
              <o:lock v:ext="edit" aspectratio="f"/>
              <v:textbox inset="0mm,0mm,0mm,0mm" style="mso-fit-shape-to-text:t;">
                <w:txbxContent>
                  <w:p>
                    <w:pPr>
                      <w:pStyle w:val="11"/>
                    </w:pPr>
                    <w:r>
                      <w:rPr>
                        <w:rFonts w:hint="eastAsia" w:ascii="宋体" w:hAnsi="宋体" w:cs="宋体"/>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宋体" w:hAnsi="宋体" w:cs="宋体"/>
                        <w:sz w:val="28"/>
                        <w:szCs w:val="28"/>
                      </w:rPr>
                      <w:t>—</w:t>
                    </w:r>
                  </w:p>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Ns2DWsUAgAAFQQAAA4AAAAAAAAAAQAgAAAANQEAAGRycy9lMm9Eb2MueG1sUEsFBgAAAAAGAAYA&#10;WQEAALs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0" w:firstLine="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GtTmFg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BrU5hYCAAAVBAAADgAAAAAAAAABACAAAAA1AQAAZHJzL2Uyb0RvYy54bWxQSwUGAAAAAAYA&#10;BgBZAQAAv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ascii="宋体" w:hAnsi="宋体" w:cs="宋体"/>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宋体" w:hAnsi="宋体" w:cs="宋体"/>
                              <w:sz w:val="28"/>
                              <w:szCs w:val="28"/>
                            </w:rPr>
                            <w:t>—</w:t>
                          </w:r>
                        </w:p>
                        <w:p>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CLgz2nrQEAAE0DAAAOAAAAAAAAAAEAIAAAADQBAABkcnMvZTJvRG9jLnhtbFBL&#10;BQYAAAAABgAGAFkBAABTBQAAAAA=&#10;">
              <v:fill on="f" focussize="0,0"/>
              <v:stroke on="f"/>
              <v:imagedata o:title=""/>
              <o:lock v:ext="edit" aspectratio="f"/>
              <v:textbox inset="0mm,0mm,0mm,0mm" style="mso-fit-shape-to-text:t;">
                <w:txbxContent>
                  <w:p>
                    <w:pPr>
                      <w:pStyle w:val="11"/>
                    </w:pPr>
                    <w:r>
                      <w:rPr>
                        <w:rFonts w:hint="eastAsia" w:ascii="宋体" w:hAnsi="宋体" w:cs="宋体"/>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宋体" w:hAnsi="宋体" w:cs="宋体"/>
                        <w:sz w:val="28"/>
                        <w:szCs w:val="28"/>
                      </w:rPr>
                      <w:t>—</w:t>
                    </w:r>
                  </w:p>
                  <w:p>
                    <w:pPr>
                      <w:pStyle w:val="11"/>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skMJEw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srJDCRMCAAAVBAAADgAAAAAAAAABACAAAAA1AQAAZHJzL2Uyb0RvYy54bWxQSwUGAAAAAAYABgBZ&#10;AQAAugU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1TIriFA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DVMiuIUAgAAFQQAAA4AAAAAAAAAAQAgAAAANQEAAGRycy9lMm9Eb2MueG1sUEsFBgAAAAAGAAYA&#10;WQEAALs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19"/>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OTFiMDRkZTI1MGM5NTc1MzVlMGY1Y2NiMGQwOG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7EFD057"/>
    <w:rsid w:val="0A2032A3"/>
    <w:rsid w:val="0E7FF4BF"/>
    <w:rsid w:val="101860EC"/>
    <w:rsid w:val="10C055FF"/>
    <w:rsid w:val="118107EC"/>
    <w:rsid w:val="130F2B6D"/>
    <w:rsid w:val="131B6178"/>
    <w:rsid w:val="13D50BC4"/>
    <w:rsid w:val="1440545B"/>
    <w:rsid w:val="158C3568"/>
    <w:rsid w:val="15EBE07D"/>
    <w:rsid w:val="16BB723D"/>
    <w:rsid w:val="17F5D29A"/>
    <w:rsid w:val="186E4B9B"/>
    <w:rsid w:val="196D73CC"/>
    <w:rsid w:val="1A3875F8"/>
    <w:rsid w:val="1B3D2448"/>
    <w:rsid w:val="1BDD5BCA"/>
    <w:rsid w:val="1BE8440E"/>
    <w:rsid w:val="1D155CEE"/>
    <w:rsid w:val="1DF7A30F"/>
    <w:rsid w:val="1E401394"/>
    <w:rsid w:val="1EED45DF"/>
    <w:rsid w:val="1EEF7475"/>
    <w:rsid w:val="1F7362D6"/>
    <w:rsid w:val="1FED6D8C"/>
    <w:rsid w:val="1FFD7136"/>
    <w:rsid w:val="20353D65"/>
    <w:rsid w:val="20670C96"/>
    <w:rsid w:val="2079293B"/>
    <w:rsid w:val="217B1CE8"/>
    <w:rsid w:val="21E814F3"/>
    <w:rsid w:val="22462CF1"/>
    <w:rsid w:val="23860B96"/>
    <w:rsid w:val="240371BF"/>
    <w:rsid w:val="257FEB31"/>
    <w:rsid w:val="25EDEF78"/>
    <w:rsid w:val="29FD04D3"/>
    <w:rsid w:val="2BF292B7"/>
    <w:rsid w:val="2BFD3D27"/>
    <w:rsid w:val="2BFEEE5F"/>
    <w:rsid w:val="2C8A61B5"/>
    <w:rsid w:val="2D3E1559"/>
    <w:rsid w:val="2DF04E50"/>
    <w:rsid w:val="2DFA6959"/>
    <w:rsid w:val="2EE6B317"/>
    <w:rsid w:val="2F3DBD12"/>
    <w:rsid w:val="2FF575BF"/>
    <w:rsid w:val="2FFF0461"/>
    <w:rsid w:val="2FFF8AB8"/>
    <w:rsid w:val="2FFFF7EF"/>
    <w:rsid w:val="319F7F4E"/>
    <w:rsid w:val="33DD3A05"/>
    <w:rsid w:val="33FB54B8"/>
    <w:rsid w:val="367ED96C"/>
    <w:rsid w:val="36AA5135"/>
    <w:rsid w:val="373E2C81"/>
    <w:rsid w:val="37B33DFF"/>
    <w:rsid w:val="37E16F03"/>
    <w:rsid w:val="37FA2CBA"/>
    <w:rsid w:val="37FF717E"/>
    <w:rsid w:val="38B730A4"/>
    <w:rsid w:val="38FF4A04"/>
    <w:rsid w:val="3A420CE6"/>
    <w:rsid w:val="3AFFE188"/>
    <w:rsid w:val="3B6731B7"/>
    <w:rsid w:val="3BCD78F9"/>
    <w:rsid w:val="3BD57B8A"/>
    <w:rsid w:val="3C772DA5"/>
    <w:rsid w:val="3CD7BFF6"/>
    <w:rsid w:val="3D98207C"/>
    <w:rsid w:val="3DFC6CFA"/>
    <w:rsid w:val="3E2A7486"/>
    <w:rsid w:val="3E9B414C"/>
    <w:rsid w:val="3F13BEA8"/>
    <w:rsid w:val="3FAFF797"/>
    <w:rsid w:val="3FDFC4C9"/>
    <w:rsid w:val="3FDFD3C2"/>
    <w:rsid w:val="3FF325FE"/>
    <w:rsid w:val="3FF7A3E5"/>
    <w:rsid w:val="3FFF42FC"/>
    <w:rsid w:val="40267F92"/>
    <w:rsid w:val="44E268DA"/>
    <w:rsid w:val="45F4B530"/>
    <w:rsid w:val="46273111"/>
    <w:rsid w:val="465EEFDB"/>
    <w:rsid w:val="46FEC882"/>
    <w:rsid w:val="4A627F82"/>
    <w:rsid w:val="4A9D70A2"/>
    <w:rsid w:val="4B4F25DA"/>
    <w:rsid w:val="4B7FC6FA"/>
    <w:rsid w:val="4BBB3956"/>
    <w:rsid w:val="4BE068DB"/>
    <w:rsid w:val="4BF7CEF3"/>
    <w:rsid w:val="4D577224"/>
    <w:rsid w:val="4D7D6F69"/>
    <w:rsid w:val="4E6734DF"/>
    <w:rsid w:val="4EAB630A"/>
    <w:rsid w:val="4EBBA909"/>
    <w:rsid w:val="4ECE2238"/>
    <w:rsid w:val="4EFD7792"/>
    <w:rsid w:val="4EFE59CF"/>
    <w:rsid w:val="4F772239"/>
    <w:rsid w:val="4FDF5CC2"/>
    <w:rsid w:val="4FF6C74A"/>
    <w:rsid w:val="4FFBC17C"/>
    <w:rsid w:val="4FFF51CA"/>
    <w:rsid w:val="51FED7AB"/>
    <w:rsid w:val="52D8149A"/>
    <w:rsid w:val="557B2209"/>
    <w:rsid w:val="57F7F7D9"/>
    <w:rsid w:val="58EC5D11"/>
    <w:rsid w:val="59F2609D"/>
    <w:rsid w:val="59FEB997"/>
    <w:rsid w:val="5A7766C6"/>
    <w:rsid w:val="5AF92295"/>
    <w:rsid w:val="5B6F4B3C"/>
    <w:rsid w:val="5BBB7D74"/>
    <w:rsid w:val="5BD462C2"/>
    <w:rsid w:val="5BE9F2C8"/>
    <w:rsid w:val="5BFD26CC"/>
    <w:rsid w:val="5C03363F"/>
    <w:rsid w:val="5CD71FC4"/>
    <w:rsid w:val="5DF7201D"/>
    <w:rsid w:val="5DFF7EB4"/>
    <w:rsid w:val="5E6BEA4D"/>
    <w:rsid w:val="5EEBA481"/>
    <w:rsid w:val="5EF7B490"/>
    <w:rsid w:val="5EFA7CCD"/>
    <w:rsid w:val="5EFDF7CB"/>
    <w:rsid w:val="5F6444A9"/>
    <w:rsid w:val="5F7D0B52"/>
    <w:rsid w:val="5FBD394C"/>
    <w:rsid w:val="5FCE4A2E"/>
    <w:rsid w:val="5FF0A060"/>
    <w:rsid w:val="5FFF89D8"/>
    <w:rsid w:val="635F0F83"/>
    <w:rsid w:val="65DBAE77"/>
    <w:rsid w:val="65FF67D0"/>
    <w:rsid w:val="66B7F324"/>
    <w:rsid w:val="66FAC963"/>
    <w:rsid w:val="675B55F8"/>
    <w:rsid w:val="677FB344"/>
    <w:rsid w:val="67E7176C"/>
    <w:rsid w:val="67EE41F2"/>
    <w:rsid w:val="67FE0059"/>
    <w:rsid w:val="6C4A05C8"/>
    <w:rsid w:val="6C875BB5"/>
    <w:rsid w:val="6CB226E6"/>
    <w:rsid w:val="6CD6492B"/>
    <w:rsid w:val="6D6F5E57"/>
    <w:rsid w:val="6DDF58DD"/>
    <w:rsid w:val="6DEF6935"/>
    <w:rsid w:val="6DFF000B"/>
    <w:rsid w:val="6E7E3605"/>
    <w:rsid w:val="6EEC8644"/>
    <w:rsid w:val="6FBB27F8"/>
    <w:rsid w:val="6FD7BA05"/>
    <w:rsid w:val="6FF40F8E"/>
    <w:rsid w:val="6FF5CC65"/>
    <w:rsid w:val="6FFA927E"/>
    <w:rsid w:val="6FFD98BD"/>
    <w:rsid w:val="6FFF438D"/>
    <w:rsid w:val="6FFF5292"/>
    <w:rsid w:val="6FFF8D58"/>
    <w:rsid w:val="715C0E4B"/>
    <w:rsid w:val="71A14E1B"/>
    <w:rsid w:val="71F7E571"/>
    <w:rsid w:val="71FE55AE"/>
    <w:rsid w:val="72734D90"/>
    <w:rsid w:val="7329B4B6"/>
    <w:rsid w:val="735BEA55"/>
    <w:rsid w:val="73AD73D5"/>
    <w:rsid w:val="73AE065B"/>
    <w:rsid w:val="73AFB909"/>
    <w:rsid w:val="73B6EB34"/>
    <w:rsid w:val="73F61997"/>
    <w:rsid w:val="755F1AC8"/>
    <w:rsid w:val="757DE146"/>
    <w:rsid w:val="75BECF63"/>
    <w:rsid w:val="75CB5D53"/>
    <w:rsid w:val="75ED5D32"/>
    <w:rsid w:val="76DFC4D3"/>
    <w:rsid w:val="773232D7"/>
    <w:rsid w:val="777FD7AC"/>
    <w:rsid w:val="77DE4F6F"/>
    <w:rsid w:val="77DFE357"/>
    <w:rsid w:val="77DFF5D1"/>
    <w:rsid w:val="77FF693D"/>
    <w:rsid w:val="786CB031"/>
    <w:rsid w:val="79017442"/>
    <w:rsid w:val="79246A5D"/>
    <w:rsid w:val="79B1BD24"/>
    <w:rsid w:val="79BD656A"/>
    <w:rsid w:val="79EE5BA4"/>
    <w:rsid w:val="7A773B3E"/>
    <w:rsid w:val="7A894339"/>
    <w:rsid w:val="7A9BE543"/>
    <w:rsid w:val="7AC6FD3B"/>
    <w:rsid w:val="7B763794"/>
    <w:rsid w:val="7BAB9FED"/>
    <w:rsid w:val="7BB75A7A"/>
    <w:rsid w:val="7BCF8B21"/>
    <w:rsid w:val="7BEADDAD"/>
    <w:rsid w:val="7BEE2027"/>
    <w:rsid w:val="7BF64EB9"/>
    <w:rsid w:val="7BFF0875"/>
    <w:rsid w:val="7BFFA7BA"/>
    <w:rsid w:val="7C6F30F8"/>
    <w:rsid w:val="7C897E2D"/>
    <w:rsid w:val="7CCA9D6A"/>
    <w:rsid w:val="7CDE1C61"/>
    <w:rsid w:val="7CEF52D6"/>
    <w:rsid w:val="7D5FA0A7"/>
    <w:rsid w:val="7D75D467"/>
    <w:rsid w:val="7D772D2F"/>
    <w:rsid w:val="7D7F1B1A"/>
    <w:rsid w:val="7D7F6648"/>
    <w:rsid w:val="7D7F9A1D"/>
    <w:rsid w:val="7DA63A7E"/>
    <w:rsid w:val="7DBE74F4"/>
    <w:rsid w:val="7DDB4EFF"/>
    <w:rsid w:val="7DE482D8"/>
    <w:rsid w:val="7DEB112A"/>
    <w:rsid w:val="7DFF2502"/>
    <w:rsid w:val="7DFF5B7C"/>
    <w:rsid w:val="7E7EE740"/>
    <w:rsid w:val="7EAB0A28"/>
    <w:rsid w:val="7EE507FF"/>
    <w:rsid w:val="7EEBCB4D"/>
    <w:rsid w:val="7EEF11D3"/>
    <w:rsid w:val="7EF79FE6"/>
    <w:rsid w:val="7EFADB84"/>
    <w:rsid w:val="7EFF2D67"/>
    <w:rsid w:val="7EFFEB45"/>
    <w:rsid w:val="7F2E8FAF"/>
    <w:rsid w:val="7F3E7C42"/>
    <w:rsid w:val="7F6FF7CF"/>
    <w:rsid w:val="7F7A9AC5"/>
    <w:rsid w:val="7F7D58EC"/>
    <w:rsid w:val="7FA30C79"/>
    <w:rsid w:val="7FB27304"/>
    <w:rsid w:val="7FB6B789"/>
    <w:rsid w:val="7FB7A8B8"/>
    <w:rsid w:val="7FC96657"/>
    <w:rsid w:val="7FCECFF2"/>
    <w:rsid w:val="7FCF5893"/>
    <w:rsid w:val="7FD7926D"/>
    <w:rsid w:val="7FDEABB0"/>
    <w:rsid w:val="7FDFE2AA"/>
    <w:rsid w:val="7FE6AA0E"/>
    <w:rsid w:val="7FEBDA07"/>
    <w:rsid w:val="7FED92DF"/>
    <w:rsid w:val="7FEE5505"/>
    <w:rsid w:val="7FF534CC"/>
    <w:rsid w:val="7FF581E9"/>
    <w:rsid w:val="7FF592CE"/>
    <w:rsid w:val="7FFC681C"/>
    <w:rsid w:val="7FFE0AF7"/>
    <w:rsid w:val="7FFEBECC"/>
    <w:rsid w:val="7FFF5E46"/>
    <w:rsid w:val="7FFFAFDB"/>
    <w:rsid w:val="7FFFC716"/>
    <w:rsid w:val="8BFBDC92"/>
    <w:rsid w:val="8C7F5F2F"/>
    <w:rsid w:val="8F7C2DEF"/>
    <w:rsid w:val="8FBF5B71"/>
    <w:rsid w:val="8FF51E3A"/>
    <w:rsid w:val="96E7E085"/>
    <w:rsid w:val="977FD3CB"/>
    <w:rsid w:val="97E7C15B"/>
    <w:rsid w:val="9BAF0CD4"/>
    <w:rsid w:val="9BBFCF87"/>
    <w:rsid w:val="9BFF8EB1"/>
    <w:rsid w:val="9D4B5CFF"/>
    <w:rsid w:val="9DFBED27"/>
    <w:rsid w:val="9DFEB2B2"/>
    <w:rsid w:val="9DFEB38D"/>
    <w:rsid w:val="9F1C04AC"/>
    <w:rsid w:val="9FBA47CE"/>
    <w:rsid w:val="A3A9FA08"/>
    <w:rsid w:val="AABF3E0E"/>
    <w:rsid w:val="AAD349D0"/>
    <w:rsid w:val="AD3F5918"/>
    <w:rsid w:val="AFED2ACF"/>
    <w:rsid w:val="B1FB9675"/>
    <w:rsid w:val="B27DEF7C"/>
    <w:rsid w:val="B5F7F8F4"/>
    <w:rsid w:val="B5FD83F3"/>
    <w:rsid w:val="B5FF9939"/>
    <w:rsid w:val="B6BA2648"/>
    <w:rsid w:val="B75FB8CD"/>
    <w:rsid w:val="B77DE3F7"/>
    <w:rsid w:val="B7BFD52F"/>
    <w:rsid w:val="B7CF90D9"/>
    <w:rsid w:val="B7FB398E"/>
    <w:rsid w:val="BA3F1E20"/>
    <w:rsid w:val="BA7B23C6"/>
    <w:rsid w:val="BAEE6301"/>
    <w:rsid w:val="BB9B078D"/>
    <w:rsid w:val="BBCF87AC"/>
    <w:rsid w:val="BBF386B7"/>
    <w:rsid w:val="BC3FD490"/>
    <w:rsid w:val="BDBF3255"/>
    <w:rsid w:val="BDFF798F"/>
    <w:rsid w:val="BE3D9F1E"/>
    <w:rsid w:val="BE6FBA0C"/>
    <w:rsid w:val="BEDFF1B8"/>
    <w:rsid w:val="BEFCBB05"/>
    <w:rsid w:val="BF97B21F"/>
    <w:rsid w:val="BFCFAA26"/>
    <w:rsid w:val="BFF3E57E"/>
    <w:rsid w:val="BFF6C1CF"/>
    <w:rsid w:val="BFFD42AC"/>
    <w:rsid w:val="BFFD52DC"/>
    <w:rsid w:val="BFFF02E8"/>
    <w:rsid w:val="BFFF90E3"/>
    <w:rsid w:val="C8E5D50A"/>
    <w:rsid w:val="CEE7E324"/>
    <w:rsid w:val="CFFF7263"/>
    <w:rsid w:val="D06F81F8"/>
    <w:rsid w:val="D3A11F3C"/>
    <w:rsid w:val="D3F7CAEC"/>
    <w:rsid w:val="D755C80A"/>
    <w:rsid w:val="D75F931D"/>
    <w:rsid w:val="D8D6DB89"/>
    <w:rsid w:val="D9D9C72C"/>
    <w:rsid w:val="DAFA3446"/>
    <w:rsid w:val="DB6F4CAB"/>
    <w:rsid w:val="DBAB2461"/>
    <w:rsid w:val="DBF2AC6B"/>
    <w:rsid w:val="DCF32E30"/>
    <w:rsid w:val="DD3FE4D1"/>
    <w:rsid w:val="DD7FB488"/>
    <w:rsid w:val="DDDFDF76"/>
    <w:rsid w:val="DEEB329A"/>
    <w:rsid w:val="DEED5EA7"/>
    <w:rsid w:val="DEFBD941"/>
    <w:rsid w:val="DF6B2566"/>
    <w:rsid w:val="DF6F9789"/>
    <w:rsid w:val="DF76F854"/>
    <w:rsid w:val="DF7D7AD0"/>
    <w:rsid w:val="DF7F1266"/>
    <w:rsid w:val="DF7F3E64"/>
    <w:rsid w:val="DFDF0A56"/>
    <w:rsid w:val="DFEB1A36"/>
    <w:rsid w:val="DFEFD79F"/>
    <w:rsid w:val="DFF7E9E8"/>
    <w:rsid w:val="DFFBC124"/>
    <w:rsid w:val="DFFE6E09"/>
    <w:rsid w:val="DFFFD0F0"/>
    <w:rsid w:val="E3BEFCB9"/>
    <w:rsid w:val="E57B2341"/>
    <w:rsid w:val="E57FF2A2"/>
    <w:rsid w:val="E5BF6451"/>
    <w:rsid w:val="E6CF616F"/>
    <w:rsid w:val="E8FF493F"/>
    <w:rsid w:val="E9F71EFB"/>
    <w:rsid w:val="EA6F74E3"/>
    <w:rsid w:val="EB97C32C"/>
    <w:rsid w:val="EBE7AB5C"/>
    <w:rsid w:val="EBFD5D2F"/>
    <w:rsid w:val="ED898AE5"/>
    <w:rsid w:val="EDBFD7B5"/>
    <w:rsid w:val="EDF7A42B"/>
    <w:rsid w:val="EDF9B199"/>
    <w:rsid w:val="EEB5610D"/>
    <w:rsid w:val="EEBEFE8E"/>
    <w:rsid w:val="EEE7E1AE"/>
    <w:rsid w:val="EF3F6001"/>
    <w:rsid w:val="EF76693C"/>
    <w:rsid w:val="EF9D7448"/>
    <w:rsid w:val="EFBB7B51"/>
    <w:rsid w:val="EFCBA229"/>
    <w:rsid w:val="EFCECD74"/>
    <w:rsid w:val="EFE7EE9D"/>
    <w:rsid w:val="EFFB9031"/>
    <w:rsid w:val="EFFDB995"/>
    <w:rsid w:val="EFFFC2B9"/>
    <w:rsid w:val="F1EFB135"/>
    <w:rsid w:val="F2BB303F"/>
    <w:rsid w:val="F2EE3B89"/>
    <w:rsid w:val="F3CE63ED"/>
    <w:rsid w:val="F3FBF61A"/>
    <w:rsid w:val="F4EE15CA"/>
    <w:rsid w:val="F54C2EB1"/>
    <w:rsid w:val="F5DF08DA"/>
    <w:rsid w:val="F5DFA3C1"/>
    <w:rsid w:val="F5F47E77"/>
    <w:rsid w:val="F6779B8F"/>
    <w:rsid w:val="F6FEC2D8"/>
    <w:rsid w:val="F76F5DD8"/>
    <w:rsid w:val="F7AB9FA0"/>
    <w:rsid w:val="F7AFB723"/>
    <w:rsid w:val="F7EF7E0D"/>
    <w:rsid w:val="F7F7C492"/>
    <w:rsid w:val="F7F8ADBB"/>
    <w:rsid w:val="F7FAD4E8"/>
    <w:rsid w:val="F7FE3AAB"/>
    <w:rsid w:val="F7FFBFD6"/>
    <w:rsid w:val="F93B1195"/>
    <w:rsid w:val="F97D4A26"/>
    <w:rsid w:val="F9D39EFD"/>
    <w:rsid w:val="F9DECDA0"/>
    <w:rsid w:val="F9DFF2D6"/>
    <w:rsid w:val="F9F5DB57"/>
    <w:rsid w:val="F9FE6870"/>
    <w:rsid w:val="FA621514"/>
    <w:rsid w:val="FA6FEFF0"/>
    <w:rsid w:val="FABF1FD9"/>
    <w:rsid w:val="FAC9811D"/>
    <w:rsid w:val="FAF71EC0"/>
    <w:rsid w:val="FAFFE674"/>
    <w:rsid w:val="FB6E079A"/>
    <w:rsid w:val="FB7E255A"/>
    <w:rsid w:val="FBBD9E8F"/>
    <w:rsid w:val="FBBF0493"/>
    <w:rsid w:val="FBDFA2C6"/>
    <w:rsid w:val="FBE92397"/>
    <w:rsid w:val="FBEB4792"/>
    <w:rsid w:val="FBEB6CC5"/>
    <w:rsid w:val="FBF24AF4"/>
    <w:rsid w:val="FBF70872"/>
    <w:rsid w:val="FBF76F7E"/>
    <w:rsid w:val="FBFF1735"/>
    <w:rsid w:val="FBFF1F50"/>
    <w:rsid w:val="FC992A36"/>
    <w:rsid w:val="FD3EC30D"/>
    <w:rsid w:val="FD7F931F"/>
    <w:rsid w:val="FDEDCB37"/>
    <w:rsid w:val="FDF692E8"/>
    <w:rsid w:val="FE734873"/>
    <w:rsid w:val="FEF4AD54"/>
    <w:rsid w:val="FEF8058B"/>
    <w:rsid w:val="FEFBE89D"/>
    <w:rsid w:val="FEFF372F"/>
    <w:rsid w:val="FEFF5581"/>
    <w:rsid w:val="FF5B4159"/>
    <w:rsid w:val="FF5F136D"/>
    <w:rsid w:val="FF77B6A8"/>
    <w:rsid w:val="FF7A8E18"/>
    <w:rsid w:val="FF7FC73D"/>
    <w:rsid w:val="FF8BD343"/>
    <w:rsid w:val="FF974B07"/>
    <w:rsid w:val="FF9980C5"/>
    <w:rsid w:val="FFB27328"/>
    <w:rsid w:val="FFBD535D"/>
    <w:rsid w:val="FFCF6F62"/>
    <w:rsid w:val="FFD7AFB0"/>
    <w:rsid w:val="FFDB6C01"/>
    <w:rsid w:val="FFE91BD7"/>
    <w:rsid w:val="FFEDBC06"/>
    <w:rsid w:val="FFF769FD"/>
    <w:rsid w:val="FFFB62CF"/>
    <w:rsid w:val="FFFC7A7F"/>
    <w:rsid w:val="FFFDEBD3"/>
    <w:rsid w:val="FFFF023E"/>
    <w:rsid w:val="FFFF45D2"/>
    <w:rsid w:val="FFFFC6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8"/>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8">
    <w:name w:val="Strong"/>
    <w:basedOn w:val="17"/>
    <w:qFormat/>
    <w:uiPriority w:val="99"/>
    <w:rPr>
      <w:b/>
    </w:rPr>
  </w:style>
  <w:style w:type="character" w:styleId="19">
    <w:name w:val="Emphasis"/>
    <w:qFormat/>
    <w:uiPriority w:val="0"/>
    <w:rPr>
      <w:i/>
      <w:iCs/>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常用样式（方正仿宋简）"/>
    <w:basedOn w:val="1"/>
    <w:next w:val="1"/>
    <w:qFormat/>
    <w:uiPriority w:val="0"/>
    <w:pPr>
      <w:spacing w:line="560" w:lineRule="exact"/>
      <w:ind w:firstLine="200" w:firstLineChars="200"/>
    </w:pPr>
    <w:rPr>
      <w:rFonts w:ascii="Times New Roman" w:hAnsi="Times New Roman" w:eastAsia="方正仿宋简体"/>
      <w:sz w:val="32"/>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Char"/>
    <w:link w:val="8"/>
    <w:qFormat/>
    <w:locked/>
    <w:uiPriority w:val="99"/>
    <w:rPr>
      <w:rFonts w:ascii="仿宋_GB2312" w:hAnsi="Times New Roman" w:eastAsia="仿宋_GB2312"/>
      <w:sz w:val="24"/>
    </w:rPr>
  </w:style>
  <w:style w:type="paragraph" w:customStyle="1" w:styleId="29">
    <w:name w:val="List Paragraph"/>
    <w:basedOn w:val="1"/>
    <w:qFormat/>
    <w:uiPriority w:val="34"/>
    <w:pPr>
      <w:ind w:firstLine="420" w:firstLineChars="200"/>
    </w:pPr>
  </w:style>
  <w:style w:type="character" w:customStyle="1" w:styleId="30">
    <w:name w:val="标题 1 Char"/>
    <w:basedOn w:val="17"/>
    <w:link w:val="5"/>
    <w:qFormat/>
    <w:uiPriority w:val="9"/>
    <w:rPr>
      <w:rFonts w:ascii="Times New Roman" w:hAnsi="Times New Roman"/>
      <w:b/>
      <w:bCs/>
      <w:kern w:val="44"/>
      <w:sz w:val="44"/>
      <w:szCs w:val="44"/>
    </w:rPr>
  </w:style>
  <w:style w:type="character" w:customStyle="1" w:styleId="31">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10"/>
    <w:semiHidden/>
    <w:qFormat/>
    <w:uiPriority w:val="99"/>
    <w:rPr>
      <w:rFonts w:ascii="Times New Roman" w:hAnsi="Times New Roman"/>
      <w:kern w:val="2"/>
      <w:sz w:val="18"/>
      <w:szCs w:val="18"/>
    </w:rPr>
  </w:style>
  <w:style w:type="character" w:customStyle="1" w:styleId="34">
    <w:name w:val="标题 3 Char"/>
    <w:basedOn w:val="17"/>
    <w:link w:val="7"/>
    <w:qFormat/>
    <w:uiPriority w:val="9"/>
    <w:rPr>
      <w:rFonts w:ascii="Times New Roman" w:hAnsi="Times New Roman"/>
      <w:b/>
      <w:bCs/>
      <w:kern w:val="2"/>
      <w:sz w:val="32"/>
      <w:szCs w:val="32"/>
    </w:rPr>
  </w:style>
  <w:style w:type="paragraph" w:customStyle="1" w:styleId="35">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font11"/>
    <w:basedOn w:val="17"/>
    <w:qFormat/>
    <w:uiPriority w:val="0"/>
    <w:rPr>
      <w:rFonts w:hint="eastAsia" w:ascii="宋体" w:hAnsi="宋体" w:eastAsia="宋体" w:cs="宋体"/>
      <w:color w:val="000000"/>
      <w:sz w:val="22"/>
      <w:szCs w:val="22"/>
      <w:u w:val="none"/>
    </w:rPr>
  </w:style>
  <w:style w:type="character" w:customStyle="1" w:styleId="37">
    <w:name w:val="font01"/>
    <w:basedOn w:val="17"/>
    <w:qFormat/>
    <w:uiPriority w:val="0"/>
    <w:rPr>
      <w:rFonts w:hint="eastAsia" w:ascii="宋体" w:hAnsi="宋体" w:eastAsia="宋体" w:cs="宋体"/>
      <w:color w:val="FF0000"/>
      <w:sz w:val="22"/>
      <w:szCs w:val="22"/>
      <w:u w:val="none"/>
    </w:rPr>
  </w:style>
  <w:style w:type="paragraph" w:customStyle="1" w:styleId="38">
    <w:name w:val="报告正文"/>
    <w:basedOn w:val="1"/>
    <w:qFormat/>
    <w:uiPriority w:val="0"/>
    <w:pPr>
      <w:spacing w:line="600" w:lineRule="exact"/>
      <w:ind w:firstLine="200" w:firstLineChars="200"/>
    </w:pPr>
    <w:rPr>
      <w:rFonts w:eastAsia="仿宋"/>
      <w:kern w:val="0"/>
      <w:szCs w:val="28"/>
      <w:lang w:val="zh-CN"/>
    </w:rPr>
  </w:style>
  <w:style w:type="paragraph" w:customStyle="1" w:styleId="39">
    <w:name w:val="图表名"/>
    <w:basedOn w:val="1"/>
    <w:qFormat/>
    <w:uiPriority w:val="4"/>
    <w:pPr>
      <w:spacing w:before="60" w:after="60"/>
      <w:jc w:val="center"/>
    </w:pPr>
    <w:rPr>
      <w:b/>
      <w:kern w:val="0"/>
      <w:sz w:val="24"/>
      <w:szCs w:val="28"/>
    </w:rPr>
  </w:style>
  <w:style w:type="paragraph" w:customStyle="1" w:styleId="40">
    <w:name w:val="表文字"/>
    <w:basedOn w:val="38"/>
    <w:qFormat/>
    <w:uiPriority w:val="5"/>
    <w:pPr>
      <w:widowControl/>
      <w:pBdr>
        <w:between w:val="single" w:color="auto" w:sz="4" w:space="1"/>
      </w:pBdr>
      <w:spacing w:line="320" w:lineRule="exact"/>
      <w:ind w:firstLine="0" w:firstLineChars="0"/>
      <w:jc w:val="center"/>
    </w:pPr>
    <w:rPr>
      <w:rFonts w:cs="宋体"/>
      <w:bCs/>
      <w:color w:val="000000"/>
      <w:sz w:val="22"/>
    </w:rPr>
  </w:style>
  <w:style w:type="paragraph" w:customStyle="1" w:styleId="41">
    <w:name w:val="汇政正文-最终版"/>
    <w:basedOn w:val="1"/>
    <w:qFormat/>
    <w:uiPriority w:val="3"/>
    <w:pPr>
      <w:spacing w:line="600" w:lineRule="exact"/>
      <w:ind w:firstLine="200" w:firstLineChars="200"/>
    </w:pPr>
    <w:rPr>
      <w:kern w:val="0"/>
      <w:szCs w:val="28"/>
      <w:lang w:val="zh-CN"/>
    </w:rPr>
  </w:style>
  <w:style w:type="character" w:customStyle="1" w:styleId="42">
    <w:name w:val="font71"/>
    <w:basedOn w:val="17"/>
    <w:qFormat/>
    <w:uiPriority w:val="0"/>
    <w:rPr>
      <w:rFonts w:hint="eastAsia" w:ascii="宋体" w:hAnsi="宋体" w:eastAsia="宋体" w:cs="宋体"/>
      <w:color w:val="000000"/>
      <w:sz w:val="22"/>
      <w:szCs w:val="22"/>
      <w:u w:val="none"/>
    </w:rPr>
  </w:style>
  <w:style w:type="character" w:customStyle="1" w:styleId="43">
    <w:name w:val="font9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a:t>
            </a:r>
          </a:p>
        </c:rich>
      </c:tx>
      <c:layout/>
      <c:overlay val="0"/>
      <c:spPr>
        <a:noFill/>
        <a:ln>
          <a:noFill/>
        </a:ln>
        <a:effectLst/>
      </c:spPr>
    </c:title>
    <c:autoTitleDeleted val="0"/>
    <c:plotArea>
      <c:layout>
        <c:manualLayout>
          <c:layoutTarget val="inner"/>
          <c:xMode val="edge"/>
          <c:yMode val="edge"/>
          <c:x val="0.1337"/>
          <c:y val="0.127"/>
          <c:w val="0.83455"/>
          <c:h val="0.674733333333333"/>
        </c:manualLayout>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Sheet1!$B$2:$B$4</c15:sqref>
                  </c15:fullRef>
                </c:ext>
              </c:extLst>
              <c:f>Sheet1!$B$2:$B$3</c:f>
              <c:numCache>
                <c:formatCode>#,##0.00</c:formatCode>
                <c:ptCount val="2"/>
                <c:pt idx="0">
                  <c:v>5300.03</c:v>
                </c:pt>
                <c:pt idx="1">
                  <c:v>5300.03</c:v>
                </c:pt>
              </c:numCache>
            </c:numRef>
          </c:val>
        </c:ser>
        <c:ser>
          <c:idx val="1"/>
          <c:order val="1"/>
          <c:tx>
            <c:strRef>
              <c:f>Sheet1!$C$1</c:f>
              <c:strCache>
                <c:ptCount val="1"/>
                <c:pt idx="0">
                  <c:v>2022</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Sheet1!$C$2:$C$3</c15:sqref>
                  </c15:fullRef>
                </c:ext>
              </c:extLst>
              <c:f>Sheet1!$C$2:$C$3</c:f>
              <c:numCache>
                <c:formatCode>#,##0.00</c:formatCode>
                <c:ptCount val="2"/>
                <c:pt idx="0">
                  <c:v>5158.72</c:v>
                </c:pt>
                <c:pt idx="1">
                  <c:v>5158.72</c:v>
                </c:pt>
              </c:numCache>
            </c:numRef>
          </c:val>
        </c:ser>
        <c:dLbls>
          <c:showLegendKey val="0"/>
          <c:showVal val="0"/>
          <c:showCatName val="0"/>
          <c:showSerName val="0"/>
          <c:showPercent val="0"/>
          <c:showBubbleSize val="0"/>
        </c:dLbls>
        <c:gapWidth val="219"/>
        <c:overlap val="-27"/>
        <c:axId val="13416016"/>
        <c:axId val="67207571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Sheet1!$A$2:$A$3</c15:sqref>
                        </c15:fullRef>
                        <c15:formulaRef>
                          <c15:sqref>Sheet1!$A$2:$A$3</c15:sqref>
                        </c15:formulaRef>
                      </c:ext>
                    </c:extLst>
                    <c:strCache>
                      <c:ptCount val="2"/>
                      <c:pt idx="0">
                        <c:v>收入</c:v>
                      </c:pt>
                      <c:pt idx="1">
                        <c:v>支出</c:v>
                      </c:pt>
                    </c:strCache>
                  </c:strRef>
                </c:cat>
              </c15:ser>
            </c15:filteredBarSeries>
          </c:ext>
        </c:extLst>
      </c:barChart>
      <c:catAx>
        <c:axId val="13416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2075714"/>
        <c:crosses val="autoZero"/>
        <c:auto val="1"/>
        <c:lblAlgn val="ctr"/>
        <c:lblOffset val="100"/>
        <c:noMultiLvlLbl val="0"/>
      </c:catAx>
      <c:valAx>
        <c:axId val="67207571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4160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本年收入决算结构图</a:t>
            </a:r>
          </a:p>
        </c:rich>
      </c:tx>
      <c:layout>
        <c:manualLayout>
          <c:xMode val="edge"/>
          <c:yMode val="edge"/>
          <c:x val="0.37575"/>
          <c:y val="0.0428333333333333"/>
        </c:manualLayout>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 预算 收入 </c:v>
                </c:pt>
                <c:pt idx="1">
                  <c:v>事业 收入 </c:v>
                </c:pt>
                <c:pt idx="2">
                  <c:v>其他收入 </c:v>
                </c:pt>
              </c:strCache>
            </c:strRef>
          </c:cat>
          <c:val>
            <c:numRef>
              <c:f>Sheet1!$B$2:$B$4</c:f>
              <c:numCache>
                <c:formatCode>#,##0.00</c:formatCode>
                <c:ptCount val="3"/>
                <c:pt idx="0">
                  <c:v>4435.95</c:v>
                </c:pt>
                <c:pt idx="1" c:formatCode="General">
                  <c:v>856.89</c:v>
                </c:pt>
                <c:pt idx="2" c:formatCode="General">
                  <c:v>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 结构图</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 </c:v>
                </c:pt>
              </c:strCache>
            </c:strRef>
          </c:cat>
          <c:val>
            <c:numRef>
              <c:f>Sheet1!$B$2:$B$3</c:f>
              <c:numCache>
                <c:formatCode>#,##0.00</c:formatCode>
                <c:ptCount val="2"/>
                <c:pt idx="0">
                  <c:v>1871.78</c:v>
                </c:pt>
                <c:pt idx="1">
                  <c:v>3422.82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3769375"/>
          <c:y val="0.9528362837575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财政拨款收、支决算总计变动情况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c:v>
                </c:pt>
              </c:strCache>
            </c:strRef>
          </c:tx>
          <c:spPr>
            <a:solidFill>
              <a:schemeClr val="accent1"/>
            </a:solidFill>
            <a:ln>
              <a:noFill/>
            </a:ln>
            <a:effectLst/>
          </c:spPr>
          <c:invertIfNegative val="0"/>
          <c:dLbls>
            <c:delete val="1"/>
          </c:dLbls>
          <c:cat>
            <c:numRef>
              <c:f>Sheet1!$A$2:$A$3</c:f>
              <c:numCache>
                <c:formatCode>General</c:formatCode>
                <c:ptCount val="2"/>
                <c:pt idx="0">
                  <c:v>2023</c:v>
                </c:pt>
                <c:pt idx="1">
                  <c:v>2022</c:v>
                </c:pt>
              </c:numCache>
            </c:numRef>
          </c:cat>
          <c:val>
            <c:numRef>
              <c:f>Sheet1!$B$2:$B$3</c:f>
              <c:numCache>
                <c:formatCode>General</c:formatCode>
                <c:ptCount val="2"/>
                <c:pt idx="0">
                  <c:v>4435.95</c:v>
                </c:pt>
                <c:pt idx="1" c:formatCode="#,##0.00">
                  <c:v>4498.69</c:v>
                </c:pt>
              </c:numCache>
            </c:numRef>
          </c:val>
        </c:ser>
        <c:dLbls>
          <c:showLegendKey val="0"/>
          <c:showVal val="0"/>
          <c:showCatName val="0"/>
          <c:showSerName val="0"/>
          <c:showPercent val="0"/>
          <c:showBubbleSize val="0"/>
        </c:dLbls>
        <c:gapWidth val="219"/>
        <c:overlap val="-27"/>
        <c:axId val="412771901"/>
        <c:axId val="23395453"/>
      </c:barChart>
      <c:catAx>
        <c:axId val="4127719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95453"/>
        <c:crosses val="autoZero"/>
        <c:auto val="1"/>
        <c:lblAlgn val="ctr"/>
        <c:lblOffset val="100"/>
        <c:noMultiLvlLbl val="0"/>
      </c:catAx>
      <c:valAx>
        <c:axId val="233954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7719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c:v>
                </c:pt>
              </c:strCache>
            </c:strRef>
          </c:tx>
          <c:spPr>
            <a:solidFill>
              <a:schemeClr val="accent1"/>
            </a:solidFill>
            <a:ln>
              <a:noFill/>
            </a:ln>
            <a:effectLst/>
          </c:spPr>
          <c:invertIfNegative val="0"/>
          <c:dLbls>
            <c:delete val="1"/>
          </c:dLbls>
          <c:cat>
            <c:numRef>
              <c:f>Sheet1!$A$2:$A$3</c:f>
              <c:numCache>
                <c:formatCode>General</c:formatCode>
                <c:ptCount val="2"/>
                <c:pt idx="0">
                  <c:v>2023</c:v>
                </c:pt>
                <c:pt idx="1">
                  <c:v>2022</c:v>
                </c:pt>
              </c:numCache>
            </c:numRef>
          </c:cat>
          <c:val>
            <c:numRef>
              <c:f>Sheet1!$B$2:$B$3</c:f>
              <c:numCache>
                <c:formatCode>General</c:formatCode>
                <c:ptCount val="2"/>
                <c:pt idx="0">
                  <c:v>4435.95</c:v>
                </c:pt>
                <c:pt idx="1">
                  <c:v>4498.69</c:v>
                </c:pt>
              </c:numCache>
            </c:numRef>
          </c:val>
        </c:ser>
        <c:dLbls>
          <c:showLegendKey val="0"/>
          <c:showVal val="0"/>
          <c:showCatName val="0"/>
          <c:showSerName val="0"/>
          <c:showPercent val="0"/>
          <c:showBubbleSize val="0"/>
        </c:dLbls>
        <c:gapWidth val="219"/>
        <c:overlap val="-27"/>
        <c:axId val="485102186"/>
        <c:axId val="482499660"/>
      </c:barChart>
      <c:catAx>
        <c:axId val="4851021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499660"/>
        <c:crosses val="autoZero"/>
        <c:auto val="1"/>
        <c:lblAlgn val="ctr"/>
        <c:lblOffset val="100"/>
        <c:noMultiLvlLbl val="0"/>
      </c:catAx>
      <c:valAx>
        <c:axId val="4824996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5102186"/>
        <c:crosses val="autoZero"/>
        <c:crossBetween val="between"/>
      </c:valAx>
      <c:spPr>
        <a:noFill/>
        <a:ln>
          <a:noFill/>
        </a:ln>
        <a:effectLst/>
      </c:spPr>
    </c:plotArea>
    <c:legend>
      <c:legendPos val="b"/>
      <c:layout>
        <c:manualLayout>
          <c:xMode val="edge"/>
          <c:yMode val="edge"/>
          <c:x val="0.3525"/>
          <c:y val="0.922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r>
              <a:rPr lang="en-US" altLang="zh-CN"/>
              <a:t> </a:t>
            </a:r>
            <a:endParaRPr altLang="en-US"/>
          </a:p>
        </c:rich>
      </c:tx>
      <c:layout>
        <c:manualLayout>
          <c:xMode val="edge"/>
          <c:yMode val="edge"/>
          <c:x val="0.213"/>
          <c:y val="0.0178333333333333"/>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教育支出</c:v>
                </c:pt>
                <c:pt idx="1">
                  <c:v>社会保障和就业支出</c:v>
                </c:pt>
                <c:pt idx="2">
                  <c:v>卫生健康支出</c:v>
                </c:pt>
                <c:pt idx="3">
                  <c:v>住房保障支出</c:v>
                </c:pt>
              </c:strCache>
            </c:strRef>
          </c:cat>
          <c:val>
            <c:numRef>
              <c:f>Sheet1!$B$2:$B$5</c:f>
              <c:numCache>
                <c:formatCode>#,##0.00</c:formatCode>
                <c:ptCount val="4"/>
                <c:pt idx="0">
                  <c:v>4143.62</c:v>
                </c:pt>
                <c:pt idx="1">
                  <c:v>171.68</c:v>
                </c:pt>
                <c:pt idx="2">
                  <c:v>42.92</c:v>
                </c:pt>
                <c:pt idx="3" c:formatCode="General">
                  <c:v>77.73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 支出结构</a:t>
            </a:r>
          </a:p>
        </c:rich>
      </c:tx>
      <c:layout>
        <c:manualLayout>
          <c:xMode val="edge"/>
          <c:yMode val="edge"/>
          <c:x val="0.256375"/>
          <c:y val="0.0223333333333333"/>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c:v>
                </c:pt>
                <c:pt idx="1">
                  <c:v>公务用车购置及 运行维护费</c:v>
                </c:pt>
                <c:pt idx="2">
                  <c:v>公务接待费</c:v>
                </c:pt>
              </c:strCache>
            </c:strRef>
          </c:cat>
          <c:val>
            <c:numRef>
              <c:f>Sheet1!$B$2:$B$4</c:f>
              <c:numCache>
                <c:formatCode>General</c:formatCode>
                <c:ptCount val="3"/>
                <c:pt idx="0">
                  <c:v>0</c:v>
                </c:pt>
                <c:pt idx="1">
                  <c:v>3.73</c:v>
                </c:pt>
                <c:pt idx="2">
                  <c:v>0.97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54</Pages>
  <Words>23551</Words>
  <Characters>26265</Characters>
  <Lines>61</Lines>
  <Paragraphs>17</Paragraphs>
  <TotalTime>8</TotalTime>
  <ScaleCrop>false</ScaleCrop>
  <LinksUpToDate>false</LinksUpToDate>
  <CharactersWithSpaces>26937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2020-08-16T17:49:00Z</dcterms:created>
  <dc:creator>曹颖</dc:creator>
  <cp:lastModifiedBy>心非.欢</cp:lastModifiedBy>
  <cp:lastPrinted>2024-08-19T07:11:00Z</cp:lastPrinted>
  <dcterms:modified xsi:type="dcterms:W3CDTF">2024-08-20T17:10:18Z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5F0B9EB7E81C49BD9D0276DF52FA9F41_12</vt:lpwstr>
  </property>
</Properties>
</file>